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5B" w:rsidRDefault="00B670B2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внутреннего государственного долга</w:t>
      </w:r>
      <w:r w:rsidRPr="00B6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01.01.2016 сос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 12 078 764,8 тыс. рублей. </w:t>
      </w:r>
    </w:p>
    <w:p w:rsidR="000C361D" w:rsidRPr="000C361D" w:rsidRDefault="000C361D" w:rsidP="000C361D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C361D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90"/>
        <w:gridCol w:w="2410"/>
      </w:tblGrid>
      <w:tr w:rsidR="000C361D" w:rsidRPr="000C361D" w:rsidTr="00D53860">
        <w:trPr>
          <w:trHeight w:val="110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1D" w:rsidRPr="00B670B2" w:rsidRDefault="000C361D" w:rsidP="00D5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госдолга на 01.01.2016г. </w:t>
            </w:r>
          </w:p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361D" w:rsidRPr="000C361D" w:rsidTr="00D53860">
        <w:trPr>
          <w:trHeight w:val="368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9 900 000,0</w:t>
            </w:r>
          </w:p>
        </w:tc>
      </w:tr>
      <w:tr w:rsidR="000C361D" w:rsidRPr="000C361D" w:rsidTr="00D53860">
        <w:trPr>
          <w:trHeight w:val="43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1 178 764,8</w:t>
            </w:r>
          </w:p>
        </w:tc>
      </w:tr>
      <w:tr w:rsidR="000C361D" w:rsidRPr="000C361D" w:rsidTr="00D53860">
        <w:trPr>
          <w:trHeight w:val="89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D" w:rsidRPr="00B670B2" w:rsidRDefault="000C361D" w:rsidP="00D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</w:t>
            </w:r>
          </w:p>
        </w:tc>
      </w:tr>
      <w:tr w:rsidR="000C361D" w:rsidRPr="000C361D" w:rsidTr="00D53860">
        <w:trPr>
          <w:trHeight w:val="25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1D" w:rsidRPr="00B670B2" w:rsidRDefault="000C361D" w:rsidP="00D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1D" w:rsidRPr="00B670B2" w:rsidRDefault="000C361D" w:rsidP="00D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12 078 764,8 </w:t>
            </w:r>
          </w:p>
        </w:tc>
      </w:tr>
    </w:tbl>
    <w:p w:rsidR="000C361D" w:rsidRDefault="000C361D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B2" w:rsidRPr="000C361D" w:rsidRDefault="00B670B2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государственного долга Магаданской области занимают кредиты, полученные от кредитных организаций – 9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0D1D5B"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 тыс. рублей (81,9 %), из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5 100 000,0 тыс. рублей – кредитные средства, п</w:t>
      </w:r>
      <w:r w:rsidR="000D1D5B"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ривлеченные в 2013, 2014 годах и 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>4 800 000,0 тыс. рублей – кредитные средства, привлеченные в 2015 году.</w:t>
      </w:r>
      <w:r w:rsidRPr="00B6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D1D5B" w:rsidRDefault="000D1D5B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1D">
        <w:rPr>
          <w:rFonts w:ascii="Times New Roman" w:eastAsia="Calibri" w:hAnsi="Times New Roman" w:cs="Times New Roman"/>
          <w:sz w:val="28"/>
          <w:szCs w:val="28"/>
        </w:rPr>
        <w:t xml:space="preserve">Объем бюджетных кредитов, полученных из федерального бюджета, 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1 178 764,8 тыс. рублей, из них бюджетные</w:t>
      </w:r>
      <w:r w:rsidRPr="000C361D">
        <w:rPr>
          <w:rFonts w:ascii="Times New Roman" w:eastAsia="Calibri" w:hAnsi="Times New Roman" w:cs="Times New Roman"/>
          <w:sz w:val="28"/>
          <w:szCs w:val="28"/>
        </w:rPr>
        <w:t xml:space="preserve"> кредиты, привлеченные в 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2014 годах в сумме 217 288,0 тыс. рублей и 985 810,0 тыс. рублей </w:t>
      </w:r>
      <w:r w:rsidR="000C361D"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средства, привлеченные в 2015 году.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61D" w:rsidRPr="000C361D" w:rsidRDefault="000C361D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B6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ценных бумаг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области, с учетом доразмещения в 2015 году оставшейся части выпуска облигаций (499 999 облигаций), </w:t>
      </w:r>
      <w:r w:rsidRPr="000C361D">
        <w:rPr>
          <w:rFonts w:ascii="Times New Roman" w:eastAsia="Calibri" w:hAnsi="Times New Roman" w:cs="Times New Roman"/>
          <w:sz w:val="28"/>
          <w:szCs w:val="28"/>
        </w:rPr>
        <w:t>зарегистрированного в Минфине России 09 декабря 2014 года (регистрационный номер MGN-001/00646)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1 000 000,0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70B2" w:rsidRPr="00B670B2" w:rsidRDefault="00B670B2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7C7D" w:rsidRDefault="005E7C7D"/>
    <w:sectPr w:rsidR="005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5E7C7D"/>
    <w:rsid w:val="00B670B2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2</cp:revision>
  <dcterms:created xsi:type="dcterms:W3CDTF">2016-04-25T00:19:00Z</dcterms:created>
  <dcterms:modified xsi:type="dcterms:W3CDTF">2016-04-25T00:19:00Z</dcterms:modified>
</cp:coreProperties>
</file>