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СОСТОЯНИИ ГОСУДАРСТВЕННОГО ДОЛГА ЗА 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</w:p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7C" w:rsidRPr="008F187C" w:rsidRDefault="008F187C" w:rsidP="008F1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1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внутреннего государственного долга</w:t>
      </w: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01.01.2017г. составил 12 078 764,0 тыс. рублей, что ниже верхнего предела, установленного статьей 22 Закона Магаданской области «Об областном бюджете на 2016 год», на 216 112,0 тыс. рублей. Наибольший удельный вес в структуре государственного долга Магаданской области занимают кредиты, полученные от кредитных организаций – 8 389 044,0 тыс. рублей (69,5%).</w:t>
      </w:r>
      <w:r w:rsidRPr="008F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F187C" w:rsidRPr="008F187C" w:rsidRDefault="008F187C" w:rsidP="008F187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8F187C">
        <w:rPr>
          <w:rFonts w:ascii="Times New Roman" w:eastAsia="Times New Roman" w:hAnsi="Times New Roman" w:cs="Times New Roman"/>
          <w:i/>
          <w:lang w:eastAsia="ru-RU"/>
        </w:rPr>
        <w:t xml:space="preserve">тыс. руб.                                                              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985"/>
        <w:gridCol w:w="1936"/>
      </w:tblGrid>
      <w:tr w:rsidR="008F187C" w:rsidRPr="008F187C" w:rsidTr="00E14E65">
        <w:trPr>
          <w:trHeight w:val="802"/>
          <w:jc w:val="center"/>
        </w:trPr>
        <w:tc>
          <w:tcPr>
            <w:tcW w:w="5572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</w:t>
            </w:r>
          </w:p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госдолга на 01.01.2017г.</w:t>
            </w:r>
          </w:p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бюджету)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госдолга на 01.01.2017г.</w:t>
            </w: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(фактически сложившаяся)</w:t>
            </w:r>
          </w:p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F187C" w:rsidRPr="008F187C" w:rsidTr="00E14E65">
        <w:trPr>
          <w:trHeight w:val="251"/>
          <w:jc w:val="center"/>
        </w:trPr>
        <w:tc>
          <w:tcPr>
            <w:tcW w:w="5572" w:type="dxa"/>
            <w:shd w:val="clear" w:color="auto" w:fill="auto"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8 605 156,0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8 389 044,0</w:t>
            </w:r>
          </w:p>
        </w:tc>
      </w:tr>
      <w:tr w:rsidR="008F187C" w:rsidRPr="008F187C" w:rsidTr="00E14E65">
        <w:trPr>
          <w:trHeight w:val="435"/>
          <w:jc w:val="center"/>
        </w:trPr>
        <w:tc>
          <w:tcPr>
            <w:tcW w:w="5572" w:type="dxa"/>
            <w:shd w:val="clear" w:color="auto" w:fill="auto"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2 989 720,0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2 989 720,0</w:t>
            </w:r>
          </w:p>
        </w:tc>
      </w:tr>
      <w:tr w:rsidR="008F187C" w:rsidRPr="008F187C" w:rsidTr="00E14E65">
        <w:trPr>
          <w:trHeight w:val="865"/>
          <w:jc w:val="center"/>
        </w:trPr>
        <w:tc>
          <w:tcPr>
            <w:tcW w:w="5572" w:type="dxa"/>
            <w:shd w:val="clear" w:color="auto" w:fill="auto"/>
            <w:vAlign w:val="center"/>
          </w:tcPr>
          <w:p w:rsidR="008F187C" w:rsidRPr="008F187C" w:rsidRDefault="008F187C" w:rsidP="008F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700 000,0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700 000,0</w:t>
            </w:r>
          </w:p>
        </w:tc>
      </w:tr>
      <w:tr w:rsidR="008F187C" w:rsidRPr="008F187C" w:rsidTr="00E14E65">
        <w:trPr>
          <w:trHeight w:val="255"/>
          <w:jc w:val="center"/>
        </w:trPr>
        <w:tc>
          <w:tcPr>
            <w:tcW w:w="5572" w:type="dxa"/>
            <w:shd w:val="clear" w:color="auto" w:fill="auto"/>
            <w:vAlign w:val="center"/>
          </w:tcPr>
          <w:p w:rsidR="008F187C" w:rsidRPr="008F187C" w:rsidRDefault="008F187C" w:rsidP="008F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12 294 876,0</w:t>
            </w:r>
          </w:p>
        </w:tc>
        <w:tc>
          <w:tcPr>
            <w:tcW w:w="1936" w:type="dxa"/>
            <w:shd w:val="clear" w:color="auto" w:fill="auto"/>
            <w:noWrap/>
            <w:vAlign w:val="bottom"/>
          </w:tcPr>
          <w:p w:rsidR="008F187C" w:rsidRPr="008F187C" w:rsidRDefault="008F187C" w:rsidP="008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12 078 764,0 </w:t>
            </w:r>
          </w:p>
        </w:tc>
      </w:tr>
    </w:tbl>
    <w:p w:rsidR="008F187C" w:rsidRPr="008F187C" w:rsidRDefault="008F187C" w:rsidP="008F18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7C">
        <w:rPr>
          <w:rFonts w:ascii="Times New Roman" w:hAnsi="Times New Roman" w:cs="Times New Roman"/>
          <w:sz w:val="28"/>
          <w:szCs w:val="28"/>
        </w:rPr>
        <w:t xml:space="preserve">В декабре 2016 года областным бюджетом привлечен коммерческий кредит в сумме 516 112,0 млн. рублей по ставке 10,84% годовых. Полученные кредитные средства были направлены на погашение облигаций Магаданской области, подлежащие уплате в 2016 году в сумме 300 000,0 тыс. рублей и на частичное погашение основного долга в сумме 216 112,0 тыс. рублей по коммерческому кредиту по ставке 12%, подлежащий уплате в 2017 году. </w:t>
      </w:r>
    </w:p>
    <w:p w:rsidR="008F187C" w:rsidRPr="008F187C" w:rsidRDefault="008F187C" w:rsidP="008F18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87C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от 08 апреля 2016 года № 01-01-06/06-69, от 08 августа 2016 года № 01-01-06/06-156, заключенными между Министерством финансов Российской Федерации и Правительством Магаданской области получены </w:t>
      </w:r>
      <w:r w:rsidRPr="008F187C">
        <w:rPr>
          <w:rFonts w:ascii="Times New Roman" w:hAnsi="Times New Roman" w:cs="Times New Roman"/>
          <w:bCs/>
          <w:sz w:val="28"/>
          <w:szCs w:val="28"/>
        </w:rPr>
        <w:t xml:space="preserve">бюджетные кредиты в общей сумме 1 910 010,0 тыс. рублей для частичного покрытия дефицита областного бюджета в целях погашения долговых обязательств Магаданской области в виде обязательств по бюджетным кредитам, государственным ценным бумагам и кредитам, полученным Магаданской областью от кредитных организаций. За счет полученных бюджетных кредитов произведена уплата </w:t>
      </w:r>
      <w:r w:rsidRPr="008F18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коммерческих кредитов, подлежащих погашению в 2016 году, в сумме   1 800 000,0 тыс. рублей. </w:t>
      </w:r>
    </w:p>
    <w:p w:rsidR="008F187C" w:rsidRPr="008F187C" w:rsidRDefault="008F187C" w:rsidP="008F18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7C">
        <w:rPr>
          <w:rFonts w:ascii="Times New Roman" w:hAnsi="Times New Roman" w:cs="Times New Roman"/>
          <w:bCs/>
          <w:sz w:val="28"/>
          <w:szCs w:val="28"/>
        </w:rPr>
        <w:t>Также за счет полученных бюджетных кредитов из федерального бюджета погашены: основной долг по бюджетному кредиту, полученному в 2014 году, в сумме 62 600,0 тыс. рублей, основной долг по бюджетному кредиту, полученному в 2013 году, в сумме 36 454,8 тыс</w:t>
      </w:r>
      <w:bookmarkStart w:id="0" w:name="_GoBack"/>
      <w:bookmarkEnd w:id="0"/>
      <w:r w:rsidRPr="008F187C">
        <w:rPr>
          <w:rFonts w:ascii="Times New Roman" w:hAnsi="Times New Roman" w:cs="Times New Roman"/>
          <w:bCs/>
          <w:sz w:val="28"/>
          <w:szCs w:val="28"/>
        </w:rPr>
        <w:t xml:space="preserve">. рублей, а также часть основного долга по коммерческому кредиту, подлежащий уплате в 2017 году, в сумме 10 956,0 тыс. рублей.   </w:t>
      </w: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1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85" w:rsidRDefault="005E5685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5E5685"/>
    <w:rsid w:val="005E7C7D"/>
    <w:rsid w:val="008F187C"/>
    <w:rsid w:val="00B670B2"/>
    <w:rsid w:val="00F37957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3</cp:revision>
  <dcterms:created xsi:type="dcterms:W3CDTF">2016-04-25T00:20:00Z</dcterms:created>
  <dcterms:modified xsi:type="dcterms:W3CDTF">2017-03-31T01:00:00Z</dcterms:modified>
</cp:coreProperties>
</file>