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5A" w:rsidRDefault="00393B5A" w:rsidP="00393B5A">
      <w:pPr>
        <w:pStyle w:val="ConsPlusNormal"/>
        <w:jc w:val="right"/>
      </w:pPr>
      <w:r>
        <w:t>Приложение 18</w:t>
      </w:r>
    </w:p>
    <w:p w:rsidR="00393B5A" w:rsidRDefault="00393B5A" w:rsidP="00393B5A">
      <w:pPr>
        <w:pStyle w:val="ConsPlusNormal"/>
        <w:jc w:val="right"/>
      </w:pPr>
      <w:r>
        <w:t>к Закону Магаданской области</w:t>
      </w:r>
    </w:p>
    <w:p w:rsidR="00393B5A" w:rsidRDefault="00393B5A" w:rsidP="00393B5A">
      <w:pPr>
        <w:pStyle w:val="ConsPlusNormal"/>
        <w:jc w:val="right"/>
      </w:pPr>
      <w:r>
        <w:t>"Об областном бюджете на 2016 год"</w:t>
      </w:r>
    </w:p>
    <w:p w:rsidR="00393B5A" w:rsidRDefault="00393B5A" w:rsidP="00393B5A">
      <w:pPr>
        <w:pStyle w:val="ConsPlusNormal"/>
        <w:jc w:val="center"/>
      </w:pPr>
    </w:p>
    <w:p w:rsidR="00393B5A" w:rsidRDefault="00393B5A" w:rsidP="00393B5A">
      <w:pPr>
        <w:pStyle w:val="ConsPlusTitle"/>
        <w:jc w:val="center"/>
      </w:pPr>
      <w:bookmarkStart w:id="0" w:name="P98468"/>
      <w:bookmarkEnd w:id="0"/>
      <w:r>
        <w:t>ИСТОЧНИКИ ВНУТРЕННЕГО ФИНАНСИРОВАНИЯ ДЕФИЦИТА</w:t>
      </w:r>
    </w:p>
    <w:p w:rsidR="00393B5A" w:rsidRDefault="00393B5A" w:rsidP="00393B5A">
      <w:pPr>
        <w:pStyle w:val="ConsPlusTitle"/>
        <w:jc w:val="center"/>
      </w:pPr>
      <w:r>
        <w:t>ОБЛАСТНОГО БЮДЖЕТА НА 2016 ГОД</w:t>
      </w:r>
    </w:p>
    <w:p w:rsidR="00393B5A" w:rsidRDefault="00393B5A" w:rsidP="00393B5A">
      <w:pPr>
        <w:pStyle w:val="ConsPlusNormal"/>
        <w:jc w:val="center"/>
      </w:pPr>
      <w:r>
        <w:t>Список изменяющих документов</w:t>
      </w:r>
    </w:p>
    <w:p w:rsidR="00393B5A" w:rsidRDefault="00393B5A" w:rsidP="00393B5A">
      <w:pPr>
        <w:pStyle w:val="ConsPlusNormal"/>
        <w:jc w:val="center"/>
      </w:pPr>
      <w:r>
        <w:t>(в ред. Законов Магаданской области</w:t>
      </w:r>
    </w:p>
    <w:p w:rsidR="00393B5A" w:rsidRDefault="00393B5A" w:rsidP="00393B5A">
      <w:pPr>
        <w:pStyle w:val="ConsPlusNormal"/>
        <w:jc w:val="center"/>
      </w:pPr>
      <w:r>
        <w:t xml:space="preserve">от 25.03.2016 </w:t>
      </w:r>
      <w:hyperlink r:id="rId4" w:history="1">
        <w:r>
          <w:rPr>
            <w:color w:val="0000FF"/>
          </w:rPr>
          <w:t>N 2011-ОЗ</w:t>
        </w:r>
      </w:hyperlink>
      <w:r>
        <w:t>,</w:t>
      </w:r>
    </w:p>
    <w:p w:rsidR="00393B5A" w:rsidRDefault="00393B5A" w:rsidP="00393B5A">
      <w:pPr>
        <w:pStyle w:val="ConsPlusNormal"/>
        <w:jc w:val="center"/>
      </w:pPr>
      <w:r>
        <w:t xml:space="preserve">от 09.06.2016 </w:t>
      </w:r>
      <w:hyperlink r:id="rId5" w:history="1">
        <w:r>
          <w:rPr>
            <w:color w:val="0000FF"/>
          </w:rPr>
          <w:t>N 2045-ОЗ</w:t>
        </w:r>
      </w:hyperlink>
      <w:r>
        <w:t>,</w:t>
      </w:r>
    </w:p>
    <w:p w:rsidR="00393B5A" w:rsidRDefault="00393B5A" w:rsidP="00393B5A">
      <w:pPr>
        <w:pStyle w:val="ConsPlusNormal"/>
        <w:jc w:val="center"/>
      </w:pPr>
      <w:r>
        <w:t xml:space="preserve">от 04.07.2016 </w:t>
      </w:r>
      <w:hyperlink r:id="rId6" w:history="1">
        <w:r>
          <w:rPr>
            <w:color w:val="0000FF"/>
          </w:rPr>
          <w:t>N 2047-ОЗ</w:t>
        </w:r>
      </w:hyperlink>
      <w:r>
        <w:t>,</w:t>
      </w:r>
    </w:p>
    <w:p w:rsidR="00393B5A" w:rsidRDefault="00393B5A" w:rsidP="00393B5A">
      <w:pPr>
        <w:pStyle w:val="ConsPlusNormal"/>
        <w:jc w:val="center"/>
      </w:pPr>
      <w:r>
        <w:t xml:space="preserve">от 29.07.2016 </w:t>
      </w:r>
      <w:hyperlink r:id="rId7" w:history="1">
        <w:r>
          <w:rPr>
            <w:color w:val="0000FF"/>
          </w:rPr>
          <w:t>N 2056-ОЗ</w:t>
        </w:r>
      </w:hyperlink>
      <w:r>
        <w:t>)</w:t>
      </w:r>
    </w:p>
    <w:p w:rsidR="00393B5A" w:rsidRDefault="00393B5A" w:rsidP="00393B5A">
      <w:pPr>
        <w:pStyle w:val="ConsPlusNormal"/>
        <w:jc w:val="right"/>
      </w:pPr>
    </w:p>
    <w:p w:rsidR="00393B5A" w:rsidRDefault="00393B5A" w:rsidP="00393B5A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5520"/>
        <w:gridCol w:w="1560"/>
      </w:tblGrid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Источники внутреннего финансирования дефицитов, всего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1 975 765,4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09.06.2016 N 2045-ОЗ)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01 01 00 00 00 0000 000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-300 000,0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01 01 00 00 02 0000 810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-300 000,0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-1 283 903,0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516 112,0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-1 800 015,0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1 810 955,2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01 03 01 00 02 0001 710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Получение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1 910 010,0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01 03 01 00 02 0001 810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-99 054,8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01 03 01 00 02 0002 710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2 020 310,2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01 03 01 00 02 0002 810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-2 020 310,2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1 179 256,2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-32 317 714,4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258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552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393B5A" w:rsidRDefault="00393B5A" w:rsidP="00A22174">
            <w:pPr>
              <w:pStyle w:val="ConsPlusNormal"/>
              <w:jc w:val="right"/>
            </w:pPr>
            <w:r>
              <w:t>33 496 970,6</w:t>
            </w:r>
          </w:p>
        </w:tc>
      </w:tr>
      <w:tr w:rsidR="00393B5A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569 457,0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402 286,5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452 286,5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субъектов Российской Федерации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lastRenderedPageBreak/>
              <w:t>-50 000,0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167 170,5</w:t>
            </w:r>
          </w:p>
        </w:tc>
      </w:tr>
      <w:tr w:rsidR="00393B5A" w:rsidTr="00A22174">
        <w:tc>
          <w:tcPr>
            <w:tcW w:w="2580" w:type="dxa"/>
          </w:tcPr>
          <w:p w:rsidR="00393B5A" w:rsidRDefault="00393B5A" w:rsidP="00A22174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5520" w:type="dxa"/>
          </w:tcPr>
          <w:p w:rsidR="00393B5A" w:rsidRDefault="00393B5A" w:rsidP="00A22174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560" w:type="dxa"/>
          </w:tcPr>
          <w:p w:rsidR="00393B5A" w:rsidRDefault="00393B5A" w:rsidP="00A22174">
            <w:pPr>
              <w:pStyle w:val="ConsPlusNormal"/>
              <w:jc w:val="right"/>
            </w:pPr>
            <w:r>
              <w:t>167 170,5</w:t>
            </w:r>
          </w:p>
        </w:tc>
      </w:tr>
    </w:tbl>
    <w:p w:rsidR="00393B5A" w:rsidRDefault="00393B5A" w:rsidP="00393B5A">
      <w:pPr>
        <w:pStyle w:val="ConsPlusNormal"/>
        <w:ind w:firstLine="540"/>
        <w:jc w:val="both"/>
      </w:pPr>
    </w:p>
    <w:p w:rsidR="00393B5A" w:rsidRDefault="00393B5A" w:rsidP="00393B5A">
      <w:pPr>
        <w:pStyle w:val="ConsPlusNormal"/>
        <w:ind w:firstLine="540"/>
        <w:jc w:val="both"/>
      </w:pPr>
    </w:p>
    <w:p w:rsidR="00393B5A" w:rsidRDefault="00393B5A" w:rsidP="00393B5A">
      <w:pPr>
        <w:pStyle w:val="ConsPlusNormal"/>
        <w:ind w:firstLine="540"/>
        <w:jc w:val="both"/>
      </w:pPr>
    </w:p>
    <w:p w:rsidR="00393B5A" w:rsidRDefault="00393B5A" w:rsidP="00393B5A">
      <w:pPr>
        <w:pStyle w:val="ConsPlusNormal"/>
        <w:ind w:firstLine="540"/>
        <w:jc w:val="both"/>
      </w:pPr>
    </w:p>
    <w:p w:rsidR="00393B5A" w:rsidRDefault="00393B5A" w:rsidP="00393B5A">
      <w:pPr>
        <w:pStyle w:val="ConsPlusNormal"/>
        <w:ind w:firstLine="540"/>
        <w:jc w:val="both"/>
      </w:pPr>
    </w:p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5A"/>
    <w:rsid w:val="00393B5A"/>
    <w:rsid w:val="009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0AAE5-D3A6-42EB-865F-15CF6B20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0B346C7F680CA5B7CE7BDB3B4E8F751A8B527CDAE6B34045C6FAF12FC330C440110CA33ACC43ECE7379r7c3X" TargetMode="External"/><Relationship Id="rId13" Type="http://schemas.openxmlformats.org/officeDocument/2006/relationships/hyperlink" Target="consultantplus://offline/ref=2840B346C7F680CA5B7CE7BDB3B4E8F751A8B527CDAF68350F5C6FAF12FC330C440110CA33ACC43ECE7777r7c2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40B346C7F680CA5B7CE7BDB3B4E8F751A8B527CDAF68350F5C6FAF12FC330C440110CA33ACC43ECE7777r7cDX" TargetMode="External"/><Relationship Id="rId12" Type="http://schemas.openxmlformats.org/officeDocument/2006/relationships/hyperlink" Target="consultantplus://offline/ref=2840B346C7F680CA5B7CE7BDB3B4E8F751A8B527CDAE6C330A5C6FAF12FC330C440110CA33ACC43ECE7272r7cAX" TargetMode="External"/><Relationship Id="rId17" Type="http://schemas.openxmlformats.org/officeDocument/2006/relationships/hyperlink" Target="consultantplus://offline/ref=2840B346C7F680CA5B7CE7BDB3B4E8F751A8B527CDAF68350F5C6FAF12FC330C440110CA33ACC43ECE7778r7c3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40B346C7F680CA5B7CE7BDB3B4E8F751A8B527CDAF68350F5C6FAF12FC330C440110CA33ACC43ECE7778r7c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0B346C7F680CA5B7CE7BDB3B4E8F751A8B527CDAE6C330A5C6FAF12FC330C440110CA33ACC43ECE7271r7cAX" TargetMode="External"/><Relationship Id="rId11" Type="http://schemas.openxmlformats.org/officeDocument/2006/relationships/hyperlink" Target="consultantplus://offline/ref=2840B346C7F680CA5B7CE7BDB3B4E8F751A8B527CDAE6C330A5C6FAF12FC330C440110CA33ACC43ECE7270r7cDX" TargetMode="External"/><Relationship Id="rId5" Type="http://schemas.openxmlformats.org/officeDocument/2006/relationships/hyperlink" Target="consultantplus://offline/ref=2840B346C7F680CA5B7CE7BDB3B4E8F751A8B527CDAE6B34045C6FAF12FC330C440110CA33ACC43ECE7379r7c2X" TargetMode="External"/><Relationship Id="rId15" Type="http://schemas.openxmlformats.org/officeDocument/2006/relationships/hyperlink" Target="consultantplus://offline/ref=2840B346C7F680CA5B7CE7BDB3B4E8F751A8B527CDAF68350F5C6FAF12FC330C440110CA33ACC43ECE7778r7c9X" TargetMode="External"/><Relationship Id="rId10" Type="http://schemas.openxmlformats.org/officeDocument/2006/relationships/hyperlink" Target="consultantplus://offline/ref=2840B346C7F680CA5B7CE7BDB3B4E8F751A8B527CDAE6C330A5C6FAF12FC330C440110CA33ACC43ECE7270r7cE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840B346C7F680CA5B7CE7BDB3B4E8F751A8B527CEA66E32055C6FAF12FC330C440110CA33ACC43ECE7370r7c3X" TargetMode="External"/><Relationship Id="rId9" Type="http://schemas.openxmlformats.org/officeDocument/2006/relationships/hyperlink" Target="consultantplus://offline/ref=2840B346C7F680CA5B7CE7BDB3B4E8F751A8B527CDAE6C330A5C6FAF12FC330C440110CA33ACC43ECE7271r7cBX" TargetMode="External"/><Relationship Id="rId14" Type="http://schemas.openxmlformats.org/officeDocument/2006/relationships/hyperlink" Target="consultantplus://offline/ref=2840B346C7F680CA5B7CE7BDB3B4E8F751A8B527CDAF68350F5C6FAF12FC330C440110CA33ACC43ECE7778r7c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2016-08-29T04:16:00Z</dcterms:created>
  <dcterms:modified xsi:type="dcterms:W3CDTF">2016-08-29T04:17:00Z</dcterms:modified>
</cp:coreProperties>
</file>