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71" w:rsidRDefault="00D94771">
      <w:pPr>
        <w:pStyle w:val="ConsPlusNormal"/>
        <w:ind w:firstLine="540"/>
        <w:jc w:val="both"/>
      </w:pPr>
    </w:p>
    <w:p w:rsidR="00D94771" w:rsidRDefault="00D94771">
      <w:pPr>
        <w:pStyle w:val="ConsPlusTitle"/>
        <w:jc w:val="center"/>
      </w:pPr>
      <w:r>
        <w:t>ГОСУДАРСТВЕННАЯ ПРОГРАММА МАГАДАНСКОЙ ОБЛАСТИ</w:t>
      </w:r>
    </w:p>
    <w:p w:rsidR="00D94771" w:rsidRDefault="00D94771">
      <w:pPr>
        <w:pStyle w:val="ConsPlusTitle"/>
        <w:jc w:val="center"/>
      </w:pPr>
      <w:r>
        <w:t>"РАЗВИТИЕ ЗДРАВООХРАНЕНИЯ МАГАДАНСКОЙ ОБЛАСТИ"</w:t>
      </w:r>
    </w:p>
    <w:p w:rsidR="00D94771" w:rsidRDefault="00D94771">
      <w:pPr>
        <w:pStyle w:val="ConsPlusTitle"/>
        <w:jc w:val="center"/>
      </w:pPr>
      <w:r>
        <w:t>НА 2014-2020 ГОДЫ"</w:t>
      </w:r>
    </w:p>
    <w:p w:rsidR="00D94771" w:rsidRDefault="00D94771">
      <w:pPr>
        <w:pStyle w:val="ConsPlusNormal"/>
        <w:jc w:val="center"/>
      </w:pPr>
      <w:r>
        <w:t>Список изменяющих документов</w:t>
      </w:r>
    </w:p>
    <w:p w:rsidR="00D94771" w:rsidRDefault="00D94771">
      <w:pPr>
        <w:pStyle w:val="ConsPlusNormal"/>
        <w:jc w:val="center"/>
      </w:pPr>
      <w:r>
        <w:t>(в ред. Постановлений Правительства Магаданской области</w:t>
      </w:r>
    </w:p>
    <w:p w:rsidR="00D94771" w:rsidRDefault="00D94771">
      <w:pPr>
        <w:pStyle w:val="ConsPlusNormal"/>
        <w:jc w:val="center"/>
      </w:pPr>
      <w:r>
        <w:t xml:space="preserve">от 24.04.2014 </w:t>
      </w:r>
      <w:hyperlink r:id="rId5" w:history="1">
        <w:r>
          <w:rPr>
            <w:color w:val="0000FF"/>
          </w:rPr>
          <w:t>N 340-пп</w:t>
        </w:r>
      </w:hyperlink>
      <w:r>
        <w:t xml:space="preserve">, от 17.07.2014 </w:t>
      </w:r>
      <w:hyperlink r:id="rId6" w:history="1">
        <w:r>
          <w:rPr>
            <w:color w:val="0000FF"/>
          </w:rPr>
          <w:t>N 598-пп</w:t>
        </w:r>
      </w:hyperlink>
      <w:r>
        <w:t>,</w:t>
      </w:r>
    </w:p>
    <w:p w:rsidR="00D94771" w:rsidRDefault="00D94771">
      <w:pPr>
        <w:pStyle w:val="ConsPlusNormal"/>
        <w:jc w:val="center"/>
      </w:pPr>
      <w:r>
        <w:t xml:space="preserve">от 12.09.2014 </w:t>
      </w:r>
      <w:hyperlink r:id="rId7" w:history="1">
        <w:r>
          <w:rPr>
            <w:color w:val="0000FF"/>
          </w:rPr>
          <w:t>N 755-пп</w:t>
        </w:r>
      </w:hyperlink>
      <w:r>
        <w:t xml:space="preserve">, от 18.12.2014 </w:t>
      </w:r>
      <w:hyperlink r:id="rId8" w:history="1">
        <w:r>
          <w:rPr>
            <w:color w:val="0000FF"/>
          </w:rPr>
          <w:t>N 1080-пп</w:t>
        </w:r>
      </w:hyperlink>
      <w:r>
        <w:t>,</w:t>
      </w:r>
    </w:p>
    <w:p w:rsidR="00D94771" w:rsidRDefault="00D94771">
      <w:pPr>
        <w:pStyle w:val="ConsPlusNormal"/>
        <w:jc w:val="center"/>
      </w:pPr>
      <w:r>
        <w:t xml:space="preserve">от 27.02.2015 </w:t>
      </w:r>
      <w:hyperlink r:id="rId9" w:history="1">
        <w:r>
          <w:rPr>
            <w:color w:val="0000FF"/>
          </w:rPr>
          <w:t>N 128-пп</w:t>
        </w:r>
      </w:hyperlink>
      <w:r>
        <w:t xml:space="preserve">, от 02.04.2015 </w:t>
      </w:r>
      <w:hyperlink r:id="rId10" w:history="1">
        <w:r>
          <w:rPr>
            <w:color w:val="0000FF"/>
          </w:rPr>
          <w:t>N 232-пп</w:t>
        </w:r>
      </w:hyperlink>
      <w:r>
        <w:t>,</w:t>
      </w:r>
    </w:p>
    <w:p w:rsidR="00D94771" w:rsidRDefault="00D94771">
      <w:pPr>
        <w:pStyle w:val="ConsPlusNormal"/>
        <w:jc w:val="center"/>
      </w:pPr>
      <w:r>
        <w:t xml:space="preserve">от 06.08.2015 </w:t>
      </w:r>
      <w:hyperlink r:id="rId11" w:history="1">
        <w:r>
          <w:rPr>
            <w:color w:val="0000FF"/>
          </w:rPr>
          <w:t>N 525-пп</w:t>
        </w:r>
      </w:hyperlink>
      <w:r>
        <w:t>)</w:t>
      </w:r>
    </w:p>
    <w:p w:rsidR="00D94771" w:rsidRDefault="00D94771">
      <w:pPr>
        <w:pStyle w:val="ConsPlusNormal"/>
        <w:jc w:val="center"/>
      </w:pPr>
    </w:p>
    <w:p w:rsidR="00D94771" w:rsidRDefault="00D94771">
      <w:pPr>
        <w:pStyle w:val="ConsPlusNormal"/>
        <w:jc w:val="center"/>
      </w:pPr>
      <w:r>
        <w:t>ПАСПОРТ</w:t>
      </w:r>
    </w:p>
    <w:p w:rsidR="00D94771" w:rsidRDefault="00D94771">
      <w:pPr>
        <w:pStyle w:val="ConsPlusNormal"/>
        <w:jc w:val="center"/>
      </w:pPr>
      <w:r>
        <w:t>государственной программы Магаданской области</w:t>
      </w:r>
    </w:p>
    <w:p w:rsidR="00D94771" w:rsidRDefault="00D94771">
      <w:pPr>
        <w:pStyle w:val="ConsPlusNormal"/>
        <w:jc w:val="center"/>
      </w:pPr>
      <w:r>
        <w:t>"Развитие здравоохранения Магаданской области"</w:t>
      </w:r>
    </w:p>
    <w:p w:rsidR="00D94771" w:rsidRDefault="00D94771">
      <w:pPr>
        <w:pStyle w:val="ConsPlusNormal"/>
        <w:jc w:val="center"/>
      </w:pPr>
      <w:r>
        <w:t>на 2014-2020 годы"</w:t>
      </w:r>
    </w:p>
    <w:p w:rsidR="00D94771" w:rsidRDefault="00D9477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7439"/>
      </w:tblGrid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t>Наименование государственной 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  <w:jc w:val="both"/>
            </w:pPr>
            <w:r>
              <w:t>государственная программа Магаданской области "Развитие здравоохранения Магаданской области" на 2014-2020 годы" (далее - государственная программа)</w:t>
            </w:r>
          </w:p>
        </w:tc>
      </w:tr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t>Цели государственной 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  <w:jc w:val="both"/>
            </w:pPr>
            <w: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</w:tr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t>Задачи государственной 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  <w:jc w:val="both"/>
            </w:pPr>
            <w:r>
              <w:t>обеспечение приоритета профилактики в сфере охраны здоровья и развития первичной медико-санитарной помощи;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 развитие и внедрение инновационных методов диагностики, профилактики и лечения, а также основ персонализированной медицины; повышение эффективности службы родовспоможения и детства; развитие медицинской реабилитации населения и совершенствование системы санаторно-курортного лечения, в том числе детей; обеспечение медицинской помощью неизлечимых больных, в том числе детей; обеспечение системы здравоохранения Магаданской области высококвалифицированными и мотивированными кадрами; развитие государственно-частного партнерства в сфере здравоохранения; развитие информатизации отрасли здравоохранения Магаданской области; совершенствование системы территориального планирования Магаданской области в сфере здравоохранения</w:t>
            </w:r>
          </w:p>
        </w:tc>
      </w:tr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t>Ответственный исполнитель государственной 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  <w:jc w:val="both"/>
            </w:pPr>
            <w:r>
              <w:t>министерство здравоохранения и демографической политики Магаданской области</w:t>
            </w:r>
          </w:p>
        </w:tc>
      </w:tr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t>Соисполнители государственной 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</w:pPr>
            <w:r>
              <w:t>-</w:t>
            </w:r>
          </w:p>
        </w:tc>
      </w:tr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t xml:space="preserve">Участники государственной </w:t>
            </w:r>
            <w:r>
              <w:lastRenderedPageBreak/>
              <w:t>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  <w:jc w:val="both"/>
            </w:pPr>
            <w:r>
              <w:lastRenderedPageBreak/>
              <w:t xml:space="preserve">министерство образования и молодежной политики Магаданской области; министерство труда и социальной политики Магаданской области; </w:t>
            </w:r>
            <w:r>
              <w:lastRenderedPageBreak/>
              <w:t>министерство строительства, жилищно-коммунального хозяйства и энергетики Магаданской области; министерство культуры, спорта и туризма Магаданской области; Территориальный фонд обязательного медицинского страхования Магаданской области; государственные учреждения, подведомственные министерству здравоохранения и демографической политики Магаданской области</w:t>
            </w:r>
          </w:p>
        </w:tc>
      </w:tr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lastRenderedPageBreak/>
              <w:t>Подпрограммы государственной 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государственно-частного партнерства"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медицинской реабилитации и санаторно-курортного лечения, в том числе детям"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"Оказание паллиативной помощи, в том числе детям"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"Кадровое обеспечение системы здравоохранения"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"Развитие информатизации в здравоохранении"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подпрограмма 10</w:t>
              </w:r>
            </w:hyperlink>
            <w:r>
              <w:t xml:space="preserve"> "Совершенствование системы территориального планирования Магаданской области в сфере здравоохранения" на 2014-2020 годы";</w:t>
            </w:r>
          </w:p>
          <w:p w:rsidR="00D94771" w:rsidRDefault="00D94771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подпрограмма 11</w:t>
              </w:r>
            </w:hyperlink>
            <w:r>
              <w:t xml:space="preserve"> "Создание условий для реализации государственной программы" на 2014-2020 годы"</w:t>
            </w:r>
          </w:p>
        </w:tc>
      </w:tr>
      <w:tr w:rsidR="00D9477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D94771" w:rsidRDefault="00D94771">
            <w:pPr>
              <w:pStyle w:val="ConsPlusNormal"/>
              <w:jc w:val="center"/>
            </w:pPr>
            <w:r>
              <w:t>Целевые показатели государственной программы</w:t>
            </w:r>
          </w:p>
        </w:tc>
        <w:tc>
          <w:tcPr>
            <w:tcW w:w="7439" w:type="dxa"/>
            <w:tcBorders>
              <w:bottom w:val="nil"/>
            </w:tcBorders>
          </w:tcPr>
          <w:p w:rsidR="00D94771" w:rsidRDefault="00D94771">
            <w:pPr>
              <w:pStyle w:val="ConsPlusNormal"/>
              <w:jc w:val="both"/>
            </w:pPr>
            <w:r>
              <w:t xml:space="preserve">смертность от всех причин; материнская смертность; младенческая смертность; смертность от болезней системы кровообращения; смертность от дорожно-транспортных происшествий; смертность от новообразований (в том числе от злокачественных); снижение смертности от новообразований (в том числе от злокачественных), в сравнении с предыдущим годом; смертность от туберкулеза; потребление алкогольной продукции (в перерасчете на абсолютный алкоголь); распространенность потребления табака среди взрослого населения; распространенность потребления табака среди детей и подростков; количество зарегистрированных больных с диагнозом, установленным впервые в жизни, "активный туберкулез"; обеспеченность врачами; соотношение врачей и среднего медицинского персонала; 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от средней заработной платы в соответствующем регионе; 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средней заработной платы в соответствующем регионе; средняя заработная плата младшего </w:t>
            </w:r>
            <w:r>
              <w:lastRenderedPageBreak/>
              <w:t>медицинского персонала (персонала, обеспечивающего условия для предоставления медицинских услуг) от средней заработной платы в соответствующем регионе; ожидаемая продолжительность жизни при рождении; число круглосуточных коек; число коек дневного стационара; число дней занятости коек в году; средняя длительность лечения больного в стационаре; доля пациентов, доставленных по экстренным показаниям, от общего числа пациентов, пролеченных в стационарных условиях.</w:t>
            </w:r>
          </w:p>
          <w:p w:rsidR="00D94771" w:rsidRDefault="00D94771">
            <w:pPr>
              <w:pStyle w:val="ConsPlusNormal"/>
              <w:jc w:val="both"/>
            </w:pPr>
            <w:r>
              <w:t>Целевые показатели государственной программы, характеризующие структурные преобразования системы оказания медицинской помощи: 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(далее - программа государственных гарантий); доля расходов на оказание медицинской помощи в амбулаторных условиях от всех расходов на программу государственных гарантий; доля расходов на оказание медицинской помощи в амбулаторных условиях в неотложной форме от всех расходов на программу государственных гарантий; доля расходов на оказание медицинской помощи в условиях дневных стационаров от всех расходов на программу государственных гарантий; доля расходов на оказание медицинской помощи в стационарных условиях от всех расходов на программу государственных гарантий</w:t>
            </w:r>
          </w:p>
        </w:tc>
      </w:tr>
      <w:tr w:rsidR="00D94771">
        <w:tblPrEx>
          <w:tblBorders>
            <w:insideH w:val="nil"/>
          </w:tblBorders>
        </w:tblPrEx>
        <w:tc>
          <w:tcPr>
            <w:tcW w:w="9841" w:type="dxa"/>
            <w:gridSpan w:val="2"/>
            <w:tcBorders>
              <w:top w:val="nil"/>
            </w:tcBorders>
          </w:tcPr>
          <w:p w:rsidR="00D94771" w:rsidRDefault="00D947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12.09.2014 N 755-пп)</w:t>
            </w:r>
          </w:p>
        </w:tc>
      </w:tr>
      <w:tr w:rsidR="00D94771">
        <w:tc>
          <w:tcPr>
            <w:tcW w:w="2402" w:type="dxa"/>
          </w:tcPr>
          <w:p w:rsidR="00D94771" w:rsidRDefault="00D94771">
            <w:pPr>
              <w:pStyle w:val="ConsPlusNormal"/>
              <w:jc w:val="center"/>
            </w:pPr>
            <w:r>
              <w:t>Сроки и этапы реализации государственной программы</w:t>
            </w:r>
          </w:p>
        </w:tc>
        <w:tc>
          <w:tcPr>
            <w:tcW w:w="7439" w:type="dxa"/>
          </w:tcPr>
          <w:p w:rsidR="00D94771" w:rsidRDefault="00D94771">
            <w:pPr>
              <w:pStyle w:val="ConsPlusNormal"/>
            </w:pPr>
            <w:r>
              <w:t>2014 - 2020 годы:</w:t>
            </w:r>
          </w:p>
          <w:p w:rsidR="00D94771" w:rsidRDefault="00D94771">
            <w:pPr>
              <w:pStyle w:val="ConsPlusNormal"/>
            </w:pPr>
            <w:r>
              <w:t>I этап - 2014-2015 год;</w:t>
            </w:r>
          </w:p>
          <w:p w:rsidR="00D94771" w:rsidRDefault="00D94771">
            <w:pPr>
              <w:pStyle w:val="ConsPlusNormal"/>
            </w:pPr>
            <w:proofErr w:type="spellStart"/>
            <w:r>
              <w:t>II</w:t>
            </w:r>
            <w:proofErr w:type="spellEnd"/>
            <w:r>
              <w:t xml:space="preserve"> этап - 2016-2020 год</w:t>
            </w:r>
          </w:p>
        </w:tc>
      </w:tr>
      <w:tr w:rsidR="00D9477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D94771" w:rsidRDefault="00D94771">
            <w:pPr>
              <w:pStyle w:val="ConsPlusNormal"/>
              <w:jc w:val="both"/>
            </w:pPr>
            <w:r>
              <w:t>Ресурсное обеспечение государственной программы</w:t>
            </w:r>
          </w:p>
        </w:tc>
        <w:tc>
          <w:tcPr>
            <w:tcW w:w="7439" w:type="dxa"/>
            <w:tcBorders>
              <w:bottom w:val="nil"/>
            </w:tcBorders>
          </w:tcPr>
          <w:p w:rsidR="00D94771" w:rsidRDefault="00D94771">
            <w:pPr>
              <w:pStyle w:val="ConsPlusNormal"/>
              <w:jc w:val="both"/>
            </w:pPr>
            <w:r>
              <w:t>Всего: 40 995 658,8 тыс. рублей, из них:</w:t>
            </w:r>
          </w:p>
          <w:p w:rsidR="00D94771" w:rsidRDefault="00D94771">
            <w:pPr>
              <w:pStyle w:val="ConsPlusNormal"/>
              <w:jc w:val="both"/>
            </w:pPr>
            <w:r>
              <w:t xml:space="preserve">средства федерального </w:t>
            </w:r>
            <w:proofErr w:type="gramStart"/>
            <w:r>
              <w:t>бюджета по предварительной оценке</w:t>
            </w:r>
            <w:proofErr w:type="gramEnd"/>
            <w:r>
              <w:t>: 1 153 675,2 тыс. рублей (с 2014 г. по 2017 г.);</w:t>
            </w:r>
          </w:p>
          <w:p w:rsidR="00D94771" w:rsidRDefault="00D94771">
            <w:pPr>
              <w:pStyle w:val="ConsPlusNormal"/>
              <w:jc w:val="both"/>
            </w:pPr>
            <w:r>
              <w:t xml:space="preserve">средства областного </w:t>
            </w:r>
            <w:proofErr w:type="gramStart"/>
            <w:r>
              <w:t>бюджета по предварительной оценке</w:t>
            </w:r>
            <w:proofErr w:type="gramEnd"/>
            <w:r>
              <w:t>:</w:t>
            </w:r>
          </w:p>
          <w:p w:rsidR="00D94771" w:rsidRDefault="00D94771">
            <w:pPr>
              <w:pStyle w:val="ConsPlusNormal"/>
              <w:jc w:val="both"/>
            </w:pPr>
            <w:r>
              <w:t>39 532 983,6 тыс. рублей, в том числе межбюджетные трансферты - 11 832 830,9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  <w:r>
              <w:t xml:space="preserve">средства Территориального фонда обязательного медицинского страхования Магаданской </w:t>
            </w:r>
            <w:proofErr w:type="gramStart"/>
            <w:r>
              <w:t>области по предварительной оценке</w:t>
            </w:r>
            <w:proofErr w:type="gramEnd"/>
            <w:r>
              <w:t>: 269 000,0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  <w:r>
              <w:t xml:space="preserve">средства юридических </w:t>
            </w:r>
            <w:proofErr w:type="gramStart"/>
            <w:r>
              <w:t>лиц по предварительной оценке</w:t>
            </w:r>
            <w:proofErr w:type="gramEnd"/>
            <w:r>
              <w:t>: 40 000,0 тыс. рублей (с 2014 г. по 2020 г.), в том числе по подпрограммам:</w:t>
            </w:r>
          </w:p>
          <w:p w:rsidR="00D94771" w:rsidRDefault="00D94771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 на 2014-2020 годы", всего: 864 989,7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 медицинской помощи, скорой, в том числе скорой специализированной, медицинской помощи, медицинской эвакуации"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3 828 666,6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государственно-частного партнерства"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48 857,5 тыс. рублей (с 2014 г. по 2016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"Охрана здоровья матери и ребенка"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287 493,8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медицинской реабилитации и санаторно-курортного лечения, в том числе детям"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355 055,7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"Оказание паллиативной помощи, в том числе детям"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93 604,8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"Кадровое обеспечение системы здравоохранения"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323 449,3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992 833,3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9 "Развитие информатизации в здравоохранении"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228 166,0 тыс. рублей (с 2014 г. по 2020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Подпрограмма 10</w:t>
              </w:r>
            </w:hyperlink>
            <w:r>
              <w:t xml:space="preserve"> "Совершенствование системы территориального планирования Магаданской области"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536 273,9 тыс. рублей (с 2014 г. по 2019 г.);</w:t>
            </w:r>
          </w:p>
          <w:p w:rsidR="00D94771" w:rsidRDefault="00D94771">
            <w:pPr>
              <w:pStyle w:val="ConsPlusNormal"/>
              <w:jc w:val="both"/>
            </w:pPr>
          </w:p>
          <w:p w:rsidR="00D94771" w:rsidRDefault="00D94771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Подпрограмма 11</w:t>
              </w:r>
            </w:hyperlink>
            <w:r>
              <w:t xml:space="preserve"> "Создание условий для реализации государственной программы" на 2014-2020 годы",</w:t>
            </w:r>
          </w:p>
          <w:p w:rsidR="00D94771" w:rsidRDefault="00D94771">
            <w:pPr>
              <w:pStyle w:val="ConsPlusNormal"/>
              <w:jc w:val="both"/>
            </w:pPr>
            <w:r>
              <w:t>всего: 33 436 268,2 тыс. рублей (с 2014 г. по 2020 г.)</w:t>
            </w:r>
          </w:p>
        </w:tc>
      </w:tr>
      <w:tr w:rsidR="00D94771">
        <w:tblPrEx>
          <w:tblBorders>
            <w:insideH w:val="nil"/>
          </w:tblBorders>
        </w:tblPrEx>
        <w:tc>
          <w:tcPr>
            <w:tcW w:w="9841" w:type="dxa"/>
            <w:gridSpan w:val="2"/>
            <w:tcBorders>
              <w:top w:val="nil"/>
            </w:tcBorders>
          </w:tcPr>
          <w:p w:rsidR="00D94771" w:rsidRDefault="00D947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06.08.2015 N 525-пп)</w:t>
            </w:r>
          </w:p>
        </w:tc>
      </w:tr>
      <w:tr w:rsidR="00D9477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D94771" w:rsidRDefault="00D94771">
            <w:pPr>
              <w:pStyle w:val="ConsPlusNormal"/>
              <w:jc w:val="center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7439" w:type="dxa"/>
            <w:tcBorders>
              <w:bottom w:val="nil"/>
            </w:tcBorders>
          </w:tcPr>
          <w:p w:rsidR="00D94771" w:rsidRDefault="00D94771">
            <w:pPr>
              <w:pStyle w:val="ConsPlusNormal"/>
              <w:jc w:val="both"/>
            </w:pPr>
            <w:r>
              <w:t xml:space="preserve">В результате реализации государственной программы ожидается: снижение смертности населения от всех причин до 11,4 на 1000 населения; отсутствие материнской смертности; снижение младенческой смертности до 7,2 случаев на 1000 родившихся живыми; снижение смертности от болезней системы кровообращения до 626,2 на 100 тыс. населения; снижение смертности от дорожно-транспортных происшествий до 8,6 на 100 тыс. населения; снижение смертности от новообразований (в том числе от злокачественных) до 189,6 на 100 тыс. населения; снижение смертности от новообразований (в том числе от злокачественных), в сравнении с предыдущим годом до 1,0%; снижение смертности от туберкулеза до 11,2 на 100 тыс. населения; снижение потребления алкогольной продукции (в перерасчете на абсолютный алкоголь) до 14,1 литров на душу населения в год; снижение распространенности потребления табака среди взрослого населения до 33,4%; снижение распространенности потребления табака среди детей и подростков до 33,2%; снижение количества зарегистрированных больных с диагнозом, установленным впервые в жизни, "активный туберкулез" до 37,3 на 100 тыс. населения; снижение показателя обеспеченности врачами до 41,0 на 10 тыс. населения; увеличение соотношения врачей и среднего медицинского персонала с 1/2,7 до 1/3,0; достижение уровня средней </w:t>
            </w:r>
            <w:r>
              <w:lastRenderedPageBreak/>
              <w:t>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до 200 % от средней заработной платы в регионе; достижение уровня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до 100% от средней заработной платы в регионе; достижение уровня средней заработной платы младшего медицинского персонала (персонала, обеспечивающего условия для предоставления медицинских услуг) до 100% от средней заработной платы в регионе; увеличение ожидаемой продолжительности жизни при рождении до 77,4 лет; уменьшение числа круглосуточных коек до 1757; увеличения числа коек дневного стационара до 409; уменьшение числа дней занятости койки до 333,0 дней в году; уменьшение средней длительности лечения больного в стационаре до 11,50 дней; увеличение доли пациентов, доставленных по экстренным показаниям, до 35% от общего числа пациентов, пролеченных в стационарных условиях; увеличение доли расходов на оказание скорой медицинской помощи вне медицинских организаций до 5,7% от всех расходов на программу государственных гарантий; уменьшение доли расходов на оказание медицинской помощи в амбулаторных условиях до 29,2% от всех расходов на программу государственных гарантий; увеличение доли расходов на оказание медицинской помощи в амбулаторных условиях в неотложной форме до 2,3% от всех расходов на программу государственных гарантий; увеличение доли расходов на оказание медицинской помощи в условиях дневных стационаров до 7,2% от всех расходов на программу государственных гарантий; уменьшение доли расходов на оказание медицинской помощи в стационарных условиях до 55,6% от всех расходов на программу государственных гарантий</w:t>
            </w:r>
          </w:p>
        </w:tc>
      </w:tr>
      <w:tr w:rsidR="00D94771">
        <w:tblPrEx>
          <w:tblBorders>
            <w:insideH w:val="nil"/>
          </w:tblBorders>
        </w:tblPrEx>
        <w:tc>
          <w:tcPr>
            <w:tcW w:w="9841" w:type="dxa"/>
            <w:gridSpan w:val="2"/>
            <w:tcBorders>
              <w:top w:val="nil"/>
            </w:tcBorders>
          </w:tcPr>
          <w:p w:rsidR="00D94771" w:rsidRDefault="00D9477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12.09.2014 N 755-пп)</w:t>
            </w:r>
          </w:p>
        </w:tc>
      </w:tr>
    </w:tbl>
    <w:p w:rsidR="00D94771" w:rsidRDefault="00D94771">
      <w:pPr>
        <w:pStyle w:val="ConsPlusNormal"/>
      </w:pPr>
      <w:hyperlink r:id="rId37" w:history="1">
        <w:r>
          <w:rPr>
            <w:i/>
            <w:color w:val="0000FF"/>
          </w:rPr>
          <w:br/>
          <w:t>Постановление администрации Магаданской области от 31.10.2013 N 1049-па (ред. от 06.08.2015) "Об утверждении государственной программы Магаданской области "Развитие здравоохранения Магаданской области" на 2014-2020 годы"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r>
          <w:rPr>
            <w:i/>
            <w:color w:val="0000FF"/>
          </w:rPr>
          <w:br/>
        </w:r>
      </w:hyperlink>
      <w:bookmarkStart w:id="0" w:name="_GoBack"/>
      <w:bookmarkEnd w:id="0"/>
    </w:p>
    <w:sectPr w:rsidR="00D94771" w:rsidSect="00D94771">
      <w:pgSz w:w="11905" w:h="16838"/>
      <w:pgMar w:top="1134" w:right="850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A5"/>
    <w:rsid w:val="00350105"/>
    <w:rsid w:val="004446A5"/>
    <w:rsid w:val="00584471"/>
    <w:rsid w:val="00D42909"/>
    <w:rsid w:val="00D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8F2F-E930-4D48-8257-95443E9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">
    <w:name w:val="ConsPlusTitle"/>
    <w:rsid w:val="00D94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01732EF8603FCB317221A77D5C7D3168D49A7CAA3513B9CBA757180BACD0AA481B94D04AA8B46BDC32BeDcCF" TargetMode="External"/><Relationship Id="rId13" Type="http://schemas.openxmlformats.org/officeDocument/2006/relationships/hyperlink" Target="consultantplus://offline/ref=4EF01732EF8603FCB317221A77D5C7D3168D49A7CAA5513A9BBA757180BACD0AA481B94D04AA8B46BEC323eDcEF" TargetMode="External"/><Relationship Id="rId18" Type="http://schemas.openxmlformats.org/officeDocument/2006/relationships/hyperlink" Target="consultantplus://offline/ref=4EF01732EF8603FCB317221A77D5C7D3168D49A7CAA5513A9BBA757180BACD0AA481B94D04AA8B46B9C32EeDc8F" TargetMode="External"/><Relationship Id="rId26" Type="http://schemas.openxmlformats.org/officeDocument/2006/relationships/hyperlink" Target="consultantplus://offline/ref=4EF01732EF8603FCB317221A77D5C7D3168D49A7CAA5513A9BBA757180BACD0AA481B94D04AA8B46BEC72BeDc2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F01732EF8603FCB317221A77D5C7D3168D49A7CAA5513A9BBA757180BACD0AA481B94D04AA8B46B9C62BeDcEF" TargetMode="External"/><Relationship Id="rId34" Type="http://schemas.openxmlformats.org/officeDocument/2006/relationships/hyperlink" Target="consultantplus://offline/ref=4EF01732EF8603FCB317221A77D5C7D3168D49A7CAA5513A9BBA757180BACD0AA481B94D04AA8B46B9C529eDcBF" TargetMode="External"/><Relationship Id="rId7" Type="http://schemas.openxmlformats.org/officeDocument/2006/relationships/hyperlink" Target="consultantplus://offline/ref=4EF01732EF8603FCB317221A77D5C7D3168D49A7CAA1513B9BBA757180BACD0AA481B94D04AA8B46BDC32BeDcCF" TargetMode="External"/><Relationship Id="rId12" Type="http://schemas.openxmlformats.org/officeDocument/2006/relationships/hyperlink" Target="consultantplus://offline/ref=4EF01732EF8603FCB317221A77D5C7D3168D49A7CAA5513A9BBA757180BACD0AA481B94D04AA8B46BFCB22eDc3F" TargetMode="External"/><Relationship Id="rId17" Type="http://schemas.openxmlformats.org/officeDocument/2006/relationships/hyperlink" Target="consultantplus://offline/ref=4EF01732EF8603FCB317221A77D5C7D3168D49A7CAA5513A9BBA757180BACD0AA481B94D04AA8B46BECA2FeDcEF" TargetMode="External"/><Relationship Id="rId25" Type="http://schemas.openxmlformats.org/officeDocument/2006/relationships/hyperlink" Target="consultantplus://offline/ref=4EF01732EF8603FCB317221A77D5C7D3168D49A7CAA5513A9BBA757180BACD0AA481B94D04AA8B46BEC323eDcEF" TargetMode="External"/><Relationship Id="rId33" Type="http://schemas.openxmlformats.org/officeDocument/2006/relationships/hyperlink" Target="consultantplus://offline/ref=4EF01732EF8603FCB317221A77D5C7D3168D49A7CAA5513A9BBA757180BACD0AA481B94D04AA8B46B9C62BeDcE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F01732EF8603FCB317221A77D5C7D3168D49A7CAA5513A9BBA757180BACD0AA481B94D04AA8B46BEC423eDcFF" TargetMode="External"/><Relationship Id="rId20" Type="http://schemas.openxmlformats.org/officeDocument/2006/relationships/hyperlink" Target="consultantplus://offline/ref=4EF01732EF8603FCB317221A77D5C7D3168D49A7CAA5513A9BBA757180BACD0AA481B94D04AA8B46B9C02CeDc2F" TargetMode="External"/><Relationship Id="rId29" Type="http://schemas.openxmlformats.org/officeDocument/2006/relationships/hyperlink" Target="consultantplus://offline/ref=4EF01732EF8603FCB317221A77D5C7D3168D49A7CAA5513A9BBA757180BACD0AA481B94D04AA8B46BECA2FeDc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F01732EF8603FCB317221A77D5C7D3168D49A7CAA15E3D99BA757180BACD0AA481B94D04AA8B46BDC32BeDcCF" TargetMode="External"/><Relationship Id="rId11" Type="http://schemas.openxmlformats.org/officeDocument/2006/relationships/hyperlink" Target="consultantplus://offline/ref=4EF01732EF8603FCB317221A77D5C7D3168D49A7CAA55E3F9FBA757180BACD0AA481B94D04AA8B46BDC32BeDcCF" TargetMode="External"/><Relationship Id="rId24" Type="http://schemas.openxmlformats.org/officeDocument/2006/relationships/hyperlink" Target="consultantplus://offline/ref=4EF01732EF8603FCB317221A77D5C7D3168D49A7CAA5513A9BBA757180BACD0AA481B94D04AA8B46BFCB22eDc3F" TargetMode="External"/><Relationship Id="rId32" Type="http://schemas.openxmlformats.org/officeDocument/2006/relationships/hyperlink" Target="consultantplus://offline/ref=4EF01732EF8603FCB317221A77D5C7D3168D49A7CAA5513A9BBA757180BACD0AA481B94D04AA8B46B9C02CeDc2F" TargetMode="External"/><Relationship Id="rId37" Type="http://schemas.openxmlformats.org/officeDocument/2006/relationships/hyperlink" Target="consultantplus://offline/ref=4EF01732EF8603FCB317221A77D5C7D3168D49A7CAA5513A9BBA757180BACD0AA481B94D04AA8B46BDC32BDAFB5B87eAc9F" TargetMode="External"/><Relationship Id="rId5" Type="http://schemas.openxmlformats.org/officeDocument/2006/relationships/hyperlink" Target="consultantplus://offline/ref=4EF01732EF8603FCB317221A77D5C7D3168D49A7CBA9513A98BA757180BACD0AA481B94D04AA8B46BDC32BeDc3F" TargetMode="External"/><Relationship Id="rId15" Type="http://schemas.openxmlformats.org/officeDocument/2006/relationships/hyperlink" Target="consultantplus://offline/ref=4EF01732EF8603FCB317221A77D5C7D3168D49A7CAA5513A9BBA757180BACD0AA481B94D04AA8B46BEC629eDcFF" TargetMode="External"/><Relationship Id="rId23" Type="http://schemas.openxmlformats.org/officeDocument/2006/relationships/hyperlink" Target="consultantplus://offline/ref=4EF01732EF8603FCB317221A77D5C7D3168D49A7CAA1513B9BBA757180BACD0AA481B94D04AA8B46BDC32BeDcDF" TargetMode="External"/><Relationship Id="rId28" Type="http://schemas.openxmlformats.org/officeDocument/2006/relationships/hyperlink" Target="consultantplus://offline/ref=4EF01732EF8603FCB317221A77D5C7D3168D49A7CAA5513A9BBA757180BACD0AA481B94D04AA8B46BEC423eDcFF" TargetMode="External"/><Relationship Id="rId36" Type="http://schemas.openxmlformats.org/officeDocument/2006/relationships/hyperlink" Target="consultantplus://offline/ref=4EF01732EF8603FCB317221A77D5C7D3168D49A7CAA1513B9BBA757180BACD0AA481B94D04AA8B46BDC32AeDc8F" TargetMode="External"/><Relationship Id="rId10" Type="http://schemas.openxmlformats.org/officeDocument/2006/relationships/hyperlink" Target="consultantplus://offline/ref=4EF01732EF8603FCB317221A77D5C7D3168D49A7CAA459399DBA757180BACD0AA481B94D04AA8B46BDC32BeDcCF" TargetMode="External"/><Relationship Id="rId19" Type="http://schemas.openxmlformats.org/officeDocument/2006/relationships/hyperlink" Target="consultantplus://offline/ref=4EF01732EF8603FCB317221A77D5C7D3168D49A7CAA5513A9BBA757180BACD0AA481B94D04AA8B46B9C128eDc2F" TargetMode="External"/><Relationship Id="rId31" Type="http://schemas.openxmlformats.org/officeDocument/2006/relationships/hyperlink" Target="consultantplus://offline/ref=4EF01732EF8603FCB317221A77D5C7D3168D49A7CAA5513A9BBA757180BACD0AA481B94D04AA8B46B9C128eDc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F01732EF8603FCB317221A77D5C7D3168D49A7CAA4583F93BA757180BACD0AA481B94D04AA8B46BDC32BeDcCF" TargetMode="External"/><Relationship Id="rId14" Type="http://schemas.openxmlformats.org/officeDocument/2006/relationships/hyperlink" Target="consultantplus://offline/ref=4EF01732EF8603FCB317221A77D5C7D3168D49A7CAA5513A9BBA757180BACD0AA481B94D04AA8B46BEC72BeDc2F" TargetMode="External"/><Relationship Id="rId22" Type="http://schemas.openxmlformats.org/officeDocument/2006/relationships/hyperlink" Target="consultantplus://offline/ref=4EF01732EF8603FCB317221A77D5C7D3168D49A7CAA5513A9BBA757180BACD0AA481B94D04AA8B46B9C529eDcBF" TargetMode="External"/><Relationship Id="rId27" Type="http://schemas.openxmlformats.org/officeDocument/2006/relationships/hyperlink" Target="consultantplus://offline/ref=4EF01732EF8603FCB317221A77D5C7D3168D49A7CAA5513A9BBA757180BACD0AA481B94D04AA8B46BEC629eDcFF" TargetMode="External"/><Relationship Id="rId30" Type="http://schemas.openxmlformats.org/officeDocument/2006/relationships/hyperlink" Target="consultantplus://offline/ref=4EF01732EF8603FCB317221A77D5C7D3168D49A7CAA5513A9BBA757180BACD0AA481B94D04AA8B46B9C32EeDc8F" TargetMode="External"/><Relationship Id="rId35" Type="http://schemas.openxmlformats.org/officeDocument/2006/relationships/hyperlink" Target="consultantplus://offline/ref=4EF01732EF8603FCB317221A77D5C7D3168D49A7CAA55E3F9FBA757180BACD0AA481B94D04AA8B46B5C22EeD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16CF-05EE-4FEF-A4A0-A77CCCC2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3</cp:revision>
  <dcterms:created xsi:type="dcterms:W3CDTF">2014-10-21T23:17:00Z</dcterms:created>
  <dcterms:modified xsi:type="dcterms:W3CDTF">2015-10-30T05:29:00Z</dcterms:modified>
</cp:coreProperties>
</file>