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8C" w:rsidRDefault="00DA388C">
      <w:pPr>
        <w:pStyle w:val="ConsPlusNormal"/>
        <w:jc w:val="right"/>
      </w:pPr>
      <w:r>
        <w:t>Утверждена</w:t>
      </w:r>
    </w:p>
    <w:p w:rsidR="00DA388C" w:rsidRDefault="00DA388C">
      <w:pPr>
        <w:pStyle w:val="ConsPlusNormal"/>
        <w:jc w:val="right"/>
      </w:pPr>
      <w:r>
        <w:t>постановлением</w:t>
      </w:r>
    </w:p>
    <w:p w:rsidR="00DA388C" w:rsidRDefault="00DA388C">
      <w:pPr>
        <w:pStyle w:val="ConsPlusNormal"/>
        <w:jc w:val="right"/>
      </w:pPr>
      <w:r>
        <w:t>администрации Магаданской области</w:t>
      </w:r>
    </w:p>
    <w:p w:rsidR="00DA388C" w:rsidRDefault="00DA388C">
      <w:pPr>
        <w:pStyle w:val="ConsPlusNormal"/>
        <w:jc w:val="right"/>
      </w:pPr>
      <w:r>
        <w:t>от 7 ноября 2013 г. N 1082-па</w:t>
      </w:r>
    </w:p>
    <w:p w:rsidR="00DA388C" w:rsidRDefault="00DA388C">
      <w:pPr>
        <w:pStyle w:val="ConsPlusNormal"/>
        <w:jc w:val="right"/>
      </w:pPr>
    </w:p>
    <w:p w:rsidR="00DA388C" w:rsidRDefault="00DA388C">
      <w:pPr>
        <w:pStyle w:val="ConsPlusTitle"/>
        <w:jc w:val="center"/>
      </w:pPr>
      <w:r>
        <w:t>ГОСУДАРСТВЕННАЯ ПРОГРАММА МАГАДАНСКОЙ ОБЛАСТИ</w:t>
      </w:r>
    </w:p>
    <w:p w:rsidR="00DA388C" w:rsidRDefault="00DA388C">
      <w:pPr>
        <w:pStyle w:val="ConsPlusTitle"/>
        <w:jc w:val="center"/>
      </w:pPr>
      <w:r>
        <w:t>"ФОРМИРОВАНИЕ ДОСТУПНОЙ СРЕДЫ В МАГАДАНСКОЙ ОБЛАСТИ"</w:t>
      </w:r>
    </w:p>
    <w:p w:rsidR="00DA388C" w:rsidRDefault="00DA388C">
      <w:pPr>
        <w:pStyle w:val="ConsPlusTitle"/>
        <w:jc w:val="center"/>
      </w:pPr>
      <w:r>
        <w:t>НА 2014-2016 ГОДЫ"</w:t>
      </w:r>
    </w:p>
    <w:p w:rsidR="00DA388C" w:rsidRDefault="00DA388C">
      <w:pPr>
        <w:pStyle w:val="ConsPlusNormal"/>
        <w:jc w:val="center"/>
      </w:pPr>
      <w:r>
        <w:t>Список изменяющих документов</w:t>
      </w:r>
    </w:p>
    <w:p w:rsidR="00DA388C" w:rsidRDefault="00DA388C">
      <w:pPr>
        <w:pStyle w:val="ConsPlusNormal"/>
        <w:jc w:val="center"/>
      </w:pPr>
      <w:r>
        <w:t>(в ред. Постановлений Правительства Магаданской области</w:t>
      </w:r>
    </w:p>
    <w:p w:rsidR="00DA388C" w:rsidRDefault="00DA388C">
      <w:pPr>
        <w:pStyle w:val="ConsPlusNormal"/>
        <w:jc w:val="center"/>
      </w:pPr>
      <w:r>
        <w:t xml:space="preserve">от 03.04.2014 </w:t>
      </w:r>
      <w:hyperlink r:id="rId5" w:history="1">
        <w:r>
          <w:rPr>
            <w:color w:val="0000FF"/>
          </w:rPr>
          <w:t>N 237-пп</w:t>
        </w:r>
      </w:hyperlink>
      <w:r>
        <w:t xml:space="preserve">, от 14.08.2014 </w:t>
      </w:r>
      <w:hyperlink r:id="rId6" w:history="1">
        <w:r>
          <w:rPr>
            <w:color w:val="0000FF"/>
          </w:rPr>
          <w:t>N 654-пп</w:t>
        </w:r>
      </w:hyperlink>
      <w:r>
        <w:t>,</w:t>
      </w:r>
    </w:p>
    <w:p w:rsidR="00DA388C" w:rsidRDefault="00DA388C">
      <w:pPr>
        <w:pStyle w:val="ConsPlusNormal"/>
        <w:jc w:val="center"/>
      </w:pPr>
      <w:r>
        <w:t xml:space="preserve">от 26.12.2014 </w:t>
      </w:r>
      <w:hyperlink r:id="rId7" w:history="1">
        <w:r>
          <w:rPr>
            <w:color w:val="0000FF"/>
          </w:rPr>
          <w:t>N 1107-пп</w:t>
        </w:r>
      </w:hyperlink>
      <w:r>
        <w:t xml:space="preserve">, от 20.05.2015 </w:t>
      </w:r>
      <w:hyperlink r:id="rId8" w:history="1">
        <w:r>
          <w:rPr>
            <w:color w:val="0000FF"/>
          </w:rPr>
          <w:t>N 334-пп</w:t>
        </w:r>
      </w:hyperlink>
      <w:r>
        <w:t>,</w:t>
      </w:r>
    </w:p>
    <w:p w:rsidR="00DA388C" w:rsidRDefault="00DA388C">
      <w:pPr>
        <w:pStyle w:val="ConsPlusNormal"/>
        <w:jc w:val="center"/>
      </w:pPr>
      <w:r>
        <w:t xml:space="preserve">от 10.07.2015 </w:t>
      </w:r>
      <w:hyperlink r:id="rId9" w:history="1">
        <w:r>
          <w:rPr>
            <w:color w:val="0000FF"/>
          </w:rPr>
          <w:t>N 468-пп</w:t>
        </w:r>
      </w:hyperlink>
      <w:r>
        <w:t>)</w:t>
      </w:r>
    </w:p>
    <w:p w:rsidR="00DA388C" w:rsidRDefault="00DA388C">
      <w:pPr>
        <w:pStyle w:val="ConsPlusNormal"/>
        <w:jc w:val="center"/>
      </w:pPr>
    </w:p>
    <w:p w:rsidR="00DA388C" w:rsidRDefault="00DA388C">
      <w:pPr>
        <w:pStyle w:val="ConsPlusNormal"/>
        <w:jc w:val="center"/>
      </w:pPr>
      <w:r>
        <w:t>ПАСПОРТ</w:t>
      </w:r>
    </w:p>
    <w:p w:rsidR="00DA388C" w:rsidRDefault="00DA388C">
      <w:pPr>
        <w:pStyle w:val="ConsPlusNormal"/>
        <w:jc w:val="center"/>
      </w:pPr>
      <w:r>
        <w:t>государственной программы Магаданской области</w:t>
      </w:r>
    </w:p>
    <w:p w:rsidR="00DA388C" w:rsidRDefault="00DA388C">
      <w:pPr>
        <w:pStyle w:val="ConsPlusNormal"/>
        <w:jc w:val="center"/>
      </w:pPr>
      <w:r>
        <w:t>"Формирование доступной среды в Магаданской области"</w:t>
      </w:r>
    </w:p>
    <w:p w:rsidR="00DA388C" w:rsidRDefault="00DA388C">
      <w:pPr>
        <w:pStyle w:val="ConsPlusNormal"/>
        <w:jc w:val="center"/>
      </w:pPr>
      <w:r>
        <w:t>на 2014-2016 годы"</w:t>
      </w:r>
    </w:p>
    <w:p w:rsidR="00DA388C" w:rsidRDefault="00DA388C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7380"/>
      </w:tblGrid>
      <w:tr w:rsidR="00DA388C">
        <w:tc>
          <w:tcPr>
            <w:tcW w:w="2400" w:type="dxa"/>
          </w:tcPr>
          <w:p w:rsidR="00DA388C" w:rsidRDefault="00DA388C">
            <w:pPr>
              <w:pStyle w:val="ConsPlusNormal"/>
              <w:jc w:val="both"/>
            </w:pPr>
            <w:r>
              <w:t>Наименование государственной программы</w:t>
            </w:r>
          </w:p>
        </w:tc>
        <w:tc>
          <w:tcPr>
            <w:tcW w:w="7380" w:type="dxa"/>
          </w:tcPr>
          <w:p w:rsidR="00DA388C" w:rsidRDefault="00DA388C">
            <w:pPr>
              <w:pStyle w:val="ConsPlusNormal"/>
              <w:jc w:val="both"/>
            </w:pPr>
            <w:r>
              <w:t>государственная программа Магаданской области "Формирование доступной среды в Магаданской области" на 2014-2016 годы" (далее государственная программа)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240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>Основания разработки государственной программы</w:t>
            </w:r>
          </w:p>
        </w:tc>
        <w:tc>
          <w:tcPr>
            <w:tcW w:w="738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 xml:space="preserve">- </w:t>
            </w:r>
            <w:hyperlink r:id="rId10" w:history="1">
              <w:r>
                <w:rPr>
                  <w:color w:val="0000FF"/>
                </w:rPr>
                <w:t>Концепция</w:t>
              </w:r>
            </w:hyperlink>
            <w:r>
      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г. N 1662-р;</w:t>
            </w:r>
          </w:p>
          <w:p w:rsidR="00DA388C" w:rsidRDefault="00DA388C">
            <w:pPr>
              <w:pStyle w:val="ConsPlusNormal"/>
              <w:jc w:val="both"/>
            </w:pPr>
            <w:r>
              <w:t xml:space="preserve">- </w:t>
            </w:r>
            <w:hyperlink r:id="rId1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15 апреля 2014 г. N 297 "Об утверждении государственной программы Российской Федерации "Доступная среда" на 2011-2015 годы";</w:t>
            </w:r>
          </w:p>
          <w:p w:rsidR="00DA388C" w:rsidRDefault="00DA388C">
            <w:pPr>
              <w:pStyle w:val="ConsPlusNormal"/>
              <w:jc w:val="both"/>
            </w:pPr>
            <w:r>
              <w:t xml:space="preserve">- </w:t>
            </w:r>
            <w:hyperlink r:id="rId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26 ноября 2012 г. N 1225 "О предоставлении субсидий из федерального бюджета на реализацию мероприятий государственной программы Российской Федерации "Доступная среда" на 2011-2015 годы и признании утратившими силу некоторых постановлении Правительства Российской Федерации";</w:t>
            </w:r>
          </w:p>
          <w:p w:rsidR="00DA388C" w:rsidRDefault="00DA388C">
            <w:pPr>
              <w:pStyle w:val="ConsPlusNormal"/>
              <w:jc w:val="both"/>
            </w:pPr>
            <w:r>
              <w:t xml:space="preserve">- </w:t>
            </w:r>
            <w:hyperlink r:id="rId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экономического развития Российской Федерации от 20 ноября 2013 г. N 690 "Об утверждении методических указаний по разработке и реализации государственных программ Российской Федерации";</w:t>
            </w:r>
          </w:p>
          <w:p w:rsidR="00DA388C" w:rsidRDefault="00DA388C">
            <w:pPr>
              <w:pStyle w:val="ConsPlusNormal"/>
              <w:jc w:val="both"/>
            </w:pPr>
            <w:r>
              <w:t xml:space="preserve">- </w:t>
            </w:r>
            <w:hyperlink r:id="rId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труда и социальной защиты </w:t>
            </w:r>
            <w:r>
              <w:lastRenderedPageBreak/>
              <w:t>Российской Федерации от 6 декабря 2012 г. N 575 "Об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населения";</w:t>
            </w:r>
          </w:p>
          <w:p w:rsidR="00DA388C" w:rsidRDefault="00DA388C">
            <w:pPr>
              <w:pStyle w:val="ConsPlusNormal"/>
              <w:jc w:val="both"/>
            </w:pPr>
            <w:r>
              <w:t xml:space="preserve">- </w:t>
            </w:r>
            <w:hyperlink r:id="rId15" w:history="1">
              <w:r>
                <w:rPr>
                  <w:color w:val="0000FF"/>
                </w:rPr>
                <w:t>Закон</w:t>
              </w:r>
            </w:hyperlink>
            <w:r>
              <w:t xml:space="preserve"> Магаданской области от 11 марта 2010 г. N 1241-ОЗ "О Стратегии социального и</w:t>
            </w:r>
          </w:p>
          <w:p w:rsidR="00DA388C" w:rsidRDefault="00DA388C">
            <w:pPr>
              <w:pStyle w:val="ConsPlusNormal"/>
              <w:jc w:val="both"/>
            </w:pPr>
            <w:r>
              <w:t>экономического развития Магаданской области на период до 2025 года";</w:t>
            </w:r>
          </w:p>
          <w:p w:rsidR="00DA388C" w:rsidRDefault="00DA388C">
            <w:pPr>
              <w:pStyle w:val="ConsPlusNormal"/>
              <w:jc w:val="both"/>
            </w:pPr>
            <w:r>
              <w:t xml:space="preserve">- </w:t>
            </w:r>
            <w:hyperlink r:id="rId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Магаданской области от 22 августа 2013 г. N 792-па "Об утверждении перечня государственных программ Магаданской области"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Магаданской области от 26.12.2014 </w:t>
            </w:r>
            <w:hyperlink r:id="rId17" w:history="1">
              <w:r>
                <w:rPr>
                  <w:color w:val="0000FF"/>
                </w:rPr>
                <w:t>N 1107-пп</w:t>
              </w:r>
            </w:hyperlink>
            <w:r>
              <w:t xml:space="preserve">, от 10.07.2015 </w:t>
            </w:r>
            <w:hyperlink r:id="rId18" w:history="1">
              <w:r>
                <w:rPr>
                  <w:color w:val="0000FF"/>
                </w:rPr>
                <w:t>N 468-пп</w:t>
              </w:r>
            </w:hyperlink>
            <w:r>
              <w:t>)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240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>Ответственный исполнитель государственной программы</w:t>
            </w:r>
          </w:p>
        </w:tc>
        <w:tc>
          <w:tcPr>
            <w:tcW w:w="738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>министерство труда и социальной политики Магаданской области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03.04.2014 N 237-пп)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240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>Соисполнители государственной программы</w:t>
            </w:r>
          </w:p>
        </w:tc>
        <w:tc>
          <w:tcPr>
            <w:tcW w:w="738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03.04.2014 N 237-пп)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240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>Участники государственной программы</w:t>
            </w:r>
          </w:p>
        </w:tc>
        <w:tc>
          <w:tcPr>
            <w:tcW w:w="738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>- министерство труда и социальной политики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t>- министерство образования и молодежной политики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t>- министерство здравоохранения и демографической политики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t>- министерство культуры и туризма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t>- органы местного самоуправления (по согласованию);</w:t>
            </w:r>
          </w:p>
          <w:p w:rsidR="00DA388C" w:rsidRDefault="00DA388C">
            <w:pPr>
              <w:pStyle w:val="ConsPlusNormal"/>
              <w:jc w:val="both"/>
            </w:pPr>
            <w:r>
              <w:t>- государственным учреждением социальной поддержки и социального обслуживания населения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t>- медицинские организации Магаданской области, подведомственные министерству здравоохранения и демографической политики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lastRenderedPageBreak/>
              <w:t>- образовательные организации Магаданской области, подведомственные министерству образования и молодежной политики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t>- государственные учреждения культуры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t>- Магаданские областные государственные казенные учреждения центры занятости населения;</w:t>
            </w:r>
          </w:p>
          <w:p w:rsidR="00DA388C" w:rsidRDefault="00DA388C">
            <w:pPr>
              <w:pStyle w:val="ConsPlusNormal"/>
              <w:jc w:val="both"/>
            </w:pPr>
            <w:r>
              <w:t>- Магаданское областное государственное автономное учреждение "Физкультурно-спортивный комплекс "Колымский"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Магаданской области от 03.04.2014 </w:t>
            </w:r>
            <w:hyperlink r:id="rId21" w:history="1">
              <w:r>
                <w:rPr>
                  <w:color w:val="0000FF"/>
                </w:rPr>
                <w:t>N 237-пп</w:t>
              </w:r>
            </w:hyperlink>
            <w:r>
              <w:t xml:space="preserve">, от 10.07.2015 </w:t>
            </w:r>
            <w:hyperlink r:id="rId22" w:history="1">
              <w:r>
                <w:rPr>
                  <w:color w:val="0000FF"/>
                </w:rPr>
                <w:t>N 468-пп</w:t>
              </w:r>
            </w:hyperlink>
            <w:r>
              <w:t>)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240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>Цель государственной программы</w:t>
            </w:r>
          </w:p>
        </w:tc>
        <w:tc>
          <w:tcPr>
            <w:tcW w:w="738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группы населения (людей, испытывающих затруднения при самостоятельном передвижении, получении услуг, необходимой информации) (далее - МГН) в Магаданской области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03.04.2014 N 237-пп)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240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>Задачи государственной программы</w:t>
            </w:r>
          </w:p>
        </w:tc>
        <w:tc>
          <w:tcPr>
            <w:tcW w:w="738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>- совершенствование нормативно-правовой и организационной основы создания доступной среды жизнедеятельности инвалидов и других МГН в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t>- повышение уровня доступности приоритетных объектов и услуг в приоритетных сферах жизнедеятельности инвалидов и других МГН в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t>- повышение доступности и качества реабилитационных услуг (развитие системы реабилитации и социальной интеграции инвалидов), в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t>- информационно-методическое и кадровое обеспечение системы реабилитации и социальной интеграции инвалидов в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t>-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Магаданской области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03.04.2014 N 237-пп)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240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lastRenderedPageBreak/>
              <w:t>Целевые показатели (индикаторы) государственной программы</w:t>
            </w:r>
          </w:p>
        </w:tc>
        <w:tc>
          <w:tcPr>
            <w:tcW w:w="738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>1) 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t>2) доля инвалидов, положительно оценивающих отношение населения к проблемам инвалидов, в общей численности опрошенных инвалидов в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t>3) 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t xml:space="preserve">4) доля организаций профессионального образования, в которых сформирована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среда, позволяющая обеспечить совместное обучение инвалидов и лиц, не имеющих нарушений развития, в общем количестве организаций профессионального образования;</w:t>
            </w:r>
          </w:p>
          <w:p w:rsidR="00DA388C" w:rsidRDefault="00DA388C">
            <w:pPr>
              <w:pStyle w:val="ConsPlusNormal"/>
              <w:jc w:val="both"/>
            </w:pPr>
            <w:r>
              <w:t xml:space="preserve">5) доля общеобразовательных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общеобразовательных организаций;</w:t>
            </w:r>
          </w:p>
          <w:p w:rsidR="00DA388C" w:rsidRDefault="00DA388C">
            <w:pPr>
              <w:pStyle w:val="ConsPlusNormal"/>
              <w:jc w:val="both"/>
            </w:pPr>
            <w:r>
              <w:t xml:space="preserve">6) доля организаций дошкольного образования,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детей с ограниченными возможностями здоровья, в общем количестве организаций дошкольного образования;</w:t>
            </w:r>
          </w:p>
          <w:p w:rsidR="00DA388C" w:rsidRDefault="00DA388C">
            <w:pPr>
              <w:pStyle w:val="ConsPlusNormal"/>
              <w:jc w:val="both"/>
            </w:pPr>
            <w:r>
              <w:t>7) доля парка подвижного состава автомобильного и, городского наземного автомобильного транспорта общего пользования, оборудованного для перевозки МГН, в парке этого подвижного состава в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t>8) доля инвалидов, обеспеченных техническими средствами реабилитации и услугами в соответствии с областным перечнем в рамках исполнения индивидуальной программы реабилитации, в общей численности инвалидов, нуждающихся в областных средствах реабилитации;</w:t>
            </w:r>
          </w:p>
          <w:p w:rsidR="00DA388C" w:rsidRDefault="00DA388C">
            <w:pPr>
              <w:pStyle w:val="ConsPlusNormal"/>
              <w:jc w:val="both"/>
            </w:pPr>
            <w:r>
              <w:t>9) доля детей-инвалидов, получивших психолого-педагогические коррекционные и реабилитационные услуги, в общей численности нуждающихся детей-инвалидов;</w:t>
            </w:r>
          </w:p>
          <w:p w:rsidR="00DA388C" w:rsidRDefault="00DA388C">
            <w:pPr>
              <w:pStyle w:val="ConsPlusNormal"/>
              <w:jc w:val="both"/>
            </w:pPr>
            <w:r>
              <w:t xml:space="preserve">10) доля детей с ограниченными возможностями здоровья, получивших медицинскую реабилитацию в общей численности детей с ограниченными </w:t>
            </w:r>
            <w:r>
              <w:lastRenderedPageBreak/>
              <w:t>возможностями;</w:t>
            </w:r>
          </w:p>
          <w:p w:rsidR="00DA388C" w:rsidRDefault="00DA388C">
            <w:pPr>
              <w:pStyle w:val="ConsPlusNormal"/>
              <w:jc w:val="both"/>
            </w:pPr>
            <w:r>
              <w:t>11) доля родителей (законных представителей), обслуживающих и обучающих детей с ограниченными возможностями здоровья, в том числе детей-инвалидов, прошедших обучение методам реабилитации детей-инвалидов;</w:t>
            </w:r>
          </w:p>
          <w:p w:rsidR="00DA388C" w:rsidRDefault="00DA388C">
            <w:pPr>
              <w:pStyle w:val="ConsPlusNormal"/>
              <w:jc w:val="both"/>
            </w:pPr>
            <w:r>
              <w:t>12) доля специалистов образовательных организаций, работающих с детьми-инвалидами, прошедших профессиональную переподготовку или повышение квалификации;</w:t>
            </w:r>
          </w:p>
          <w:p w:rsidR="00DA388C" w:rsidRDefault="00DA388C">
            <w:pPr>
              <w:pStyle w:val="ConsPlusNormal"/>
              <w:jc w:val="both"/>
            </w:pPr>
            <w:r>
              <w:t>13) доля лиц с ограниченными возможностями здоровья, принявших участие в творческих и культурно-досуговых мероприятиях;</w:t>
            </w:r>
          </w:p>
          <w:p w:rsidR="00DA388C" w:rsidRDefault="00DA388C">
            <w:pPr>
              <w:pStyle w:val="ConsPlusNormal"/>
              <w:jc w:val="both"/>
            </w:pPr>
            <w:r>
              <w:t>14)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26.12.2014 N 1107-пп)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240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>Сроки и этапы реализации государственной программы</w:t>
            </w:r>
          </w:p>
        </w:tc>
        <w:tc>
          <w:tcPr>
            <w:tcW w:w="738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>2014-2016 годы с разбивкой на следующие этапы:</w:t>
            </w:r>
          </w:p>
          <w:p w:rsidR="00DA388C" w:rsidRDefault="00DA388C">
            <w:pPr>
              <w:pStyle w:val="ConsPlusNormal"/>
              <w:jc w:val="both"/>
            </w:pPr>
            <w:r>
              <w:t>I этап - 2014-2015 годы;</w:t>
            </w:r>
          </w:p>
          <w:p w:rsidR="00DA388C" w:rsidRDefault="00DA388C">
            <w:pPr>
              <w:pStyle w:val="ConsPlusNormal"/>
              <w:jc w:val="both"/>
            </w:pPr>
            <w:proofErr w:type="spellStart"/>
            <w:r>
              <w:t>II</w:t>
            </w:r>
            <w:proofErr w:type="spellEnd"/>
            <w:r>
              <w:t xml:space="preserve"> этап - 2016 год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03.04.2014 N 237-пп)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240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>Объемы и источники финансирования государственной программы</w:t>
            </w:r>
          </w:p>
        </w:tc>
        <w:tc>
          <w:tcPr>
            <w:tcW w:w="738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>общий объем финансирования государственной программы составляет 82571,5 тыс. рублей, из них:</w:t>
            </w:r>
          </w:p>
          <w:p w:rsidR="00DA388C" w:rsidRDefault="00DA388C">
            <w:pPr>
              <w:pStyle w:val="ConsPlusNormal"/>
              <w:jc w:val="both"/>
            </w:pPr>
            <w:r>
              <w:t>в 2014 год - 41772,5 тыс. рублей;</w:t>
            </w:r>
          </w:p>
          <w:p w:rsidR="00DA388C" w:rsidRDefault="00DA388C">
            <w:pPr>
              <w:pStyle w:val="ConsPlusNormal"/>
              <w:jc w:val="both"/>
            </w:pPr>
            <w:r>
              <w:t>в 2015 год - 30936,5 тыс. рублей;</w:t>
            </w:r>
          </w:p>
          <w:p w:rsidR="00DA388C" w:rsidRDefault="00DA388C">
            <w:pPr>
              <w:pStyle w:val="ConsPlusNormal"/>
              <w:jc w:val="both"/>
            </w:pPr>
            <w:r>
              <w:t>в 2016 год - 9862,5 тыс. рублей;</w:t>
            </w:r>
          </w:p>
          <w:p w:rsidR="00DA388C" w:rsidRDefault="00DA388C">
            <w:pPr>
              <w:pStyle w:val="ConsPlusNormal"/>
              <w:jc w:val="both"/>
            </w:pPr>
            <w:r>
              <w:t>- объем средств федерального бюджета (прогноз) - 34937,3 тыс. рублей, из них:</w:t>
            </w:r>
          </w:p>
          <w:p w:rsidR="00DA388C" w:rsidRDefault="00DA388C">
            <w:pPr>
              <w:pStyle w:val="ConsPlusNormal"/>
              <w:jc w:val="both"/>
            </w:pPr>
            <w:r>
              <w:t>в 2014 год - 21832,4 тыс. рублей;</w:t>
            </w:r>
          </w:p>
          <w:p w:rsidR="00DA388C" w:rsidRDefault="00DA388C">
            <w:pPr>
              <w:pStyle w:val="ConsPlusNormal"/>
              <w:jc w:val="both"/>
            </w:pPr>
            <w:r>
              <w:t>в 2015 год - 13104,9 тыс. рублей;</w:t>
            </w:r>
          </w:p>
          <w:p w:rsidR="00DA388C" w:rsidRDefault="00DA388C">
            <w:pPr>
              <w:pStyle w:val="ConsPlusNormal"/>
              <w:jc w:val="both"/>
            </w:pPr>
            <w:r>
              <w:t>- объем средств областного бюджета - 39432,9 тыс. рублей, из них:</w:t>
            </w:r>
          </w:p>
          <w:p w:rsidR="00DA388C" w:rsidRDefault="00DA388C">
            <w:pPr>
              <w:pStyle w:val="ConsPlusNormal"/>
              <w:jc w:val="both"/>
            </w:pPr>
            <w:r>
              <w:t>в 2014 год - 15338,4 тыс. рублей;</w:t>
            </w:r>
          </w:p>
          <w:p w:rsidR="00DA388C" w:rsidRDefault="00DA388C">
            <w:pPr>
              <w:pStyle w:val="ConsPlusNormal"/>
              <w:jc w:val="both"/>
            </w:pPr>
            <w:r>
              <w:t>в 2015 год - 14232,0 тыс. рублей;</w:t>
            </w:r>
          </w:p>
          <w:p w:rsidR="00DA388C" w:rsidRDefault="00DA388C">
            <w:pPr>
              <w:pStyle w:val="ConsPlusNormal"/>
              <w:jc w:val="both"/>
            </w:pPr>
            <w:r>
              <w:t>в 2016 год - 9862,5 тыс. рублей;</w:t>
            </w:r>
          </w:p>
          <w:p w:rsidR="00DA388C" w:rsidRDefault="00DA388C">
            <w:pPr>
              <w:pStyle w:val="ConsPlusNormal"/>
              <w:jc w:val="both"/>
            </w:pPr>
            <w:r>
              <w:t>- объем средств местных бюджетов - 8201,3 тыс. рублей, из них:</w:t>
            </w:r>
          </w:p>
          <w:p w:rsidR="00DA388C" w:rsidRDefault="00DA388C">
            <w:pPr>
              <w:pStyle w:val="ConsPlusNormal"/>
              <w:jc w:val="both"/>
            </w:pPr>
            <w:r>
              <w:t>в 2014 год - 4601,7 тыс. рублей;</w:t>
            </w:r>
          </w:p>
          <w:p w:rsidR="00DA388C" w:rsidRDefault="00DA388C">
            <w:pPr>
              <w:pStyle w:val="ConsPlusNormal"/>
              <w:jc w:val="both"/>
            </w:pPr>
            <w:r>
              <w:lastRenderedPageBreak/>
              <w:t>в 2015 год - 3599,6 тыс. рублей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10.07.2015 N 468-пп)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240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7380" w:type="dxa"/>
            <w:tcBorders>
              <w:bottom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>- формирование условий устойчивого развития доступной среды для инвалидов и других МГН;</w:t>
            </w:r>
          </w:p>
          <w:p w:rsidR="00DA388C" w:rsidRDefault="00DA388C">
            <w:pPr>
              <w:pStyle w:val="ConsPlusNormal"/>
              <w:jc w:val="both"/>
            </w:pPr>
            <w:r>
              <w:t>- обеспечение межведомственного взаимодействия и координации работ исполнительных органов государственной власти,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в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t>- 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Магаданской области с целью размещения в информационно-телекоммуникационной сети "Интернет";</w:t>
            </w:r>
          </w:p>
          <w:p w:rsidR="00DA388C" w:rsidRDefault="00DA388C">
            <w:pPr>
              <w:pStyle w:val="ConsPlusNormal"/>
              <w:jc w:val="both"/>
            </w:pPr>
            <w:r>
              <w:t>- формирование условий доступности приоритетных объектов и услуг в приоритетных сферах жизнедеятельности инвалидов и других МГН;</w:t>
            </w:r>
          </w:p>
          <w:p w:rsidR="00DA388C" w:rsidRDefault="00DA388C">
            <w:pPr>
              <w:pStyle w:val="ConsPlusNormal"/>
              <w:jc w:val="both"/>
            </w:pPr>
            <w:r>
              <w:t>- обеспечение доступности подвижного состава автомобильного транспорта общего пользования для инвалидов и других МГН в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t>- повышение доступности и качества реабилитационных услуг для инвалидов в Магаданской области;</w:t>
            </w:r>
          </w:p>
          <w:p w:rsidR="00DA388C" w:rsidRDefault="00DA388C">
            <w:pPr>
              <w:pStyle w:val="ConsPlusNormal"/>
              <w:jc w:val="both"/>
            </w:pPr>
            <w:r>
              <w:t>- увеличение числа инвалидов, обеспеченных техническими средствами реабилитации за счет средств областного бюджета в рамках индивидуальной программы реабилитации;</w:t>
            </w:r>
          </w:p>
          <w:p w:rsidR="00DA388C" w:rsidRDefault="00DA388C">
            <w:pPr>
              <w:pStyle w:val="ConsPlusNormal"/>
              <w:jc w:val="both"/>
            </w:pPr>
            <w:r>
              <w:t>- создание системы должного информационно-методического обеспечения, повышения квалификации специалистов, занятых в системе реабилитации и социальной интеграции инвалидов;</w:t>
            </w:r>
          </w:p>
          <w:p w:rsidR="00DA388C" w:rsidRDefault="00DA388C">
            <w:pPr>
              <w:pStyle w:val="ConsPlusNormal"/>
              <w:jc w:val="both"/>
            </w:pPr>
            <w:r>
              <w:t>- создание эффективно действующей системы информационного, консультативного обеспечения инвалидов и других МГН на основе традиционных и современных информационно-коммуникационных технологий с учетом особых потребностей инвалидов;</w:t>
            </w:r>
          </w:p>
          <w:p w:rsidR="00DA388C" w:rsidRDefault="00DA388C">
            <w:pPr>
              <w:pStyle w:val="ConsPlusNormal"/>
              <w:jc w:val="both"/>
            </w:pPr>
            <w:r>
              <w:t>- преодоление социальной разобщенности и "</w:t>
            </w:r>
            <w:proofErr w:type="spellStart"/>
            <w:r>
              <w:t>отношенческих</w:t>
            </w:r>
            <w:proofErr w:type="spellEnd"/>
            <w:r>
              <w:t>" барьеров в обществе</w:t>
            </w:r>
          </w:p>
        </w:tc>
      </w:tr>
      <w:tr w:rsidR="00DA388C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DA388C" w:rsidRDefault="00DA388C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03.04.2014 N </w:t>
            </w:r>
            <w:r>
              <w:lastRenderedPageBreak/>
              <w:t>237-пп)</w:t>
            </w:r>
          </w:p>
        </w:tc>
      </w:tr>
    </w:tbl>
    <w:p w:rsidR="00DA388C" w:rsidRDefault="00DA388C">
      <w:pPr>
        <w:pStyle w:val="ConsPlusNormal"/>
      </w:pPr>
      <w:hyperlink r:id="rId29" w:history="1">
        <w:r>
          <w:rPr>
            <w:i/>
            <w:color w:val="0000FF"/>
          </w:rPr>
          <w:br/>
          <w:t>Постановление администрации Магаданской области от 07.11.2013 N 1082-па (ред. от 10.07.2015) "Об утверждении государственной программы Магаданской области "Формирование доступной среды в Магаданской области" на 2014-2016 годы"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  <w:r>
          <w:rPr>
            <w:i/>
            <w:color w:val="0000FF"/>
          </w:rPr>
          <w:br/>
        </w:r>
      </w:hyperlink>
      <w:bookmarkStart w:id="0" w:name="_GoBack"/>
      <w:bookmarkEnd w:id="0"/>
    </w:p>
    <w:sectPr w:rsidR="00DA388C" w:rsidSect="00DA388C">
      <w:type w:val="continuous"/>
      <w:pgSz w:w="11905" w:h="16838"/>
      <w:pgMar w:top="28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96"/>
    <w:rsid w:val="00350105"/>
    <w:rsid w:val="00D42909"/>
    <w:rsid w:val="00DA388C"/>
    <w:rsid w:val="00E9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68716-4F48-4164-8DBA-1FFBA9EC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paragraph" w:customStyle="1" w:styleId="ConsPlusTitle">
    <w:name w:val="ConsPlusTitle"/>
    <w:rsid w:val="00DA3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267555A5F89733A3DC0B73776B81C5C7F89F32EB11759B340357051A7792D86E613C5765F5B57208EE0CkBfAF" TargetMode="External"/><Relationship Id="rId13" Type="http://schemas.openxmlformats.org/officeDocument/2006/relationships/hyperlink" Target="consultantplus://offline/ref=2F267555A5F89733A3DC157E6107DBCBCFF6C836EE117BCC6A5C0C584Dk7fEF" TargetMode="External"/><Relationship Id="rId18" Type="http://schemas.openxmlformats.org/officeDocument/2006/relationships/hyperlink" Target="consultantplus://offline/ref=2F267555A5F89733A3DC0B73776B81C5C7F89F32EB10729E340357051A7792D86E613C5765F5B57208EE0CkBf4F" TargetMode="External"/><Relationship Id="rId26" Type="http://schemas.openxmlformats.org/officeDocument/2006/relationships/hyperlink" Target="consultantplus://offline/ref=2F267555A5F89733A3DC0B73776B81C5C7F89F32EA1C7498330357051A7792D86E613C5765F5B57208EE0EkBfE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267555A5F89733A3DC0B73776B81C5C7F89F32EA1C7498330357051A7792D86E613C5765F5B57208EE0DkBf8F" TargetMode="External"/><Relationship Id="rId7" Type="http://schemas.openxmlformats.org/officeDocument/2006/relationships/hyperlink" Target="consultantplus://offline/ref=2F267555A5F89733A3DC0B73776B81C5C7F89F32EB167798320357051A7792D86E613C5765F5B57208EE0CkBfAF" TargetMode="External"/><Relationship Id="rId12" Type="http://schemas.openxmlformats.org/officeDocument/2006/relationships/hyperlink" Target="consultantplus://offline/ref=2F267555A5F89733A3DC157E6107DBCBCFF5C43AEE157BCC6A5C0C584Dk7fEF" TargetMode="External"/><Relationship Id="rId17" Type="http://schemas.openxmlformats.org/officeDocument/2006/relationships/hyperlink" Target="consultantplus://offline/ref=2F267555A5F89733A3DC0B73776B81C5C7F89F32EB167798320357051A7792D86E613C5765F5B57208EE0CkBfBF" TargetMode="External"/><Relationship Id="rId25" Type="http://schemas.openxmlformats.org/officeDocument/2006/relationships/hyperlink" Target="consultantplus://offline/ref=2F267555A5F89733A3DC0B73776B81C5C7F89F32EB167798320357051A7792D86E613C5765F5B57208EE0DkBf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267555A5F89733A3DC0B73776B81C5C7F89F32EB1074923F0357051A7792D8k6fEF" TargetMode="External"/><Relationship Id="rId20" Type="http://schemas.openxmlformats.org/officeDocument/2006/relationships/hyperlink" Target="consultantplus://offline/ref=2F267555A5F89733A3DC0B73776B81C5C7F89F32EA1C7498330357051A7792D86E613C5765F5B57208EE0DkBfFF" TargetMode="External"/><Relationship Id="rId29" Type="http://schemas.openxmlformats.org/officeDocument/2006/relationships/hyperlink" Target="consultantplus://offline/ref=2F267555A5F89733A3DC0B73776B81C5C7F89F32EB1074923E0357051A7792D86E613C5765F5B57208EE0CBC57B0ABk2f5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267555A5F89733A3DC0B73776B81C5C7F89F32EB14709F3E0357051A7792D86E613C5765F5B57208EE0CkBfAF" TargetMode="External"/><Relationship Id="rId11" Type="http://schemas.openxmlformats.org/officeDocument/2006/relationships/hyperlink" Target="consultantplus://offline/ref=2F267555A5F89733A3DC157E6107DBCBCFF4C437EF127BCC6A5C0C584Dk7fEF" TargetMode="External"/><Relationship Id="rId24" Type="http://schemas.openxmlformats.org/officeDocument/2006/relationships/hyperlink" Target="consultantplus://offline/ref=2F267555A5F89733A3DC0B73776B81C5C7F89F32EA1C7498330357051A7792D86E613C5765F5B57208EE0EkBfCF" TargetMode="External"/><Relationship Id="rId5" Type="http://schemas.openxmlformats.org/officeDocument/2006/relationships/hyperlink" Target="consultantplus://offline/ref=2F267555A5F89733A3DC0B73776B81C5C7F89F32EA1C7498330357051A7792D86E613C5765F5B57208EE0CkBfBF" TargetMode="External"/><Relationship Id="rId15" Type="http://schemas.openxmlformats.org/officeDocument/2006/relationships/hyperlink" Target="consultantplus://offline/ref=2F267555A5F89733A3DC0B73776B81C5C7F89F32EB177098320357051A7792D8k6fEF" TargetMode="External"/><Relationship Id="rId23" Type="http://schemas.openxmlformats.org/officeDocument/2006/relationships/hyperlink" Target="consultantplus://offline/ref=2F267555A5F89733A3DC0B73776B81C5C7F89F32EA1C7498330357051A7792D86E613C5765F5B57208EE0DkBf5F" TargetMode="External"/><Relationship Id="rId28" Type="http://schemas.openxmlformats.org/officeDocument/2006/relationships/hyperlink" Target="consultantplus://offline/ref=2F267555A5F89733A3DC0B73776B81C5C7F89F32EA1C7498330357051A7792D86E613C5765F5B57208EE0EkBf4F" TargetMode="External"/><Relationship Id="rId10" Type="http://schemas.openxmlformats.org/officeDocument/2006/relationships/hyperlink" Target="consultantplus://offline/ref=2F267555A5F89733A3DC157E6107DBCBC7F3C73FEF1E26C66205005A4A71C7982E67691421F8B4k7fAF" TargetMode="External"/><Relationship Id="rId19" Type="http://schemas.openxmlformats.org/officeDocument/2006/relationships/hyperlink" Target="consultantplus://offline/ref=2F267555A5F89733A3DC0B73776B81C5C7F89F32EA1C7498330357051A7792D86E613C5765F5B57208EE0CkBf4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267555A5F89733A3DC0B73776B81C5C7F89F32EB10729E340357051A7792D86E613C5765F5B57208EE0CkBfBF" TargetMode="External"/><Relationship Id="rId14" Type="http://schemas.openxmlformats.org/officeDocument/2006/relationships/hyperlink" Target="consultantplus://offline/ref=2F267555A5F89733A3DC157E6107DBCBCFF4C939E8177BCC6A5C0C584Dk7fEF" TargetMode="External"/><Relationship Id="rId22" Type="http://schemas.openxmlformats.org/officeDocument/2006/relationships/hyperlink" Target="consultantplus://offline/ref=2F267555A5F89733A3DC0B73776B81C5C7F89F32EB10729E340357051A7792D86E613C5765F5B57208EE0CkBf5F" TargetMode="External"/><Relationship Id="rId27" Type="http://schemas.openxmlformats.org/officeDocument/2006/relationships/hyperlink" Target="consultantplus://offline/ref=2F267555A5F89733A3DC0B73776B81C5C7F89F32EB10729E340357051A7792D86E613C5765F5B57208EE0DkBfC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55E9-3878-41D7-8971-D0807401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Сигитова</dc:creator>
  <cp:lastModifiedBy>Сигитова Елена Сергеевна</cp:lastModifiedBy>
  <cp:revision>2</cp:revision>
  <dcterms:created xsi:type="dcterms:W3CDTF">2014-10-22T00:21:00Z</dcterms:created>
  <dcterms:modified xsi:type="dcterms:W3CDTF">2015-10-30T05:33:00Z</dcterms:modified>
</cp:coreProperties>
</file>