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475" w:rsidRDefault="00992475">
      <w:pPr>
        <w:pStyle w:val="ConsPlusNormal"/>
        <w:jc w:val="right"/>
      </w:pPr>
      <w:r>
        <w:t>Утверждена</w:t>
      </w:r>
    </w:p>
    <w:p w:rsidR="00992475" w:rsidRDefault="00992475">
      <w:pPr>
        <w:pStyle w:val="ConsPlusNormal"/>
        <w:jc w:val="right"/>
      </w:pPr>
      <w:r>
        <w:t>постановлением</w:t>
      </w:r>
    </w:p>
    <w:p w:rsidR="00992475" w:rsidRDefault="00992475">
      <w:pPr>
        <w:pStyle w:val="ConsPlusNormal"/>
        <w:jc w:val="right"/>
      </w:pPr>
      <w:r>
        <w:t>ад</w:t>
      </w:r>
      <w:bookmarkStart w:id="0" w:name="_GoBack"/>
      <w:bookmarkEnd w:id="0"/>
      <w:r>
        <w:t>министрации Магаданской области</w:t>
      </w:r>
    </w:p>
    <w:p w:rsidR="00992475" w:rsidRDefault="00992475">
      <w:pPr>
        <w:pStyle w:val="ConsPlusNormal"/>
        <w:jc w:val="right"/>
      </w:pPr>
      <w:r>
        <w:t>от 12 декабря 2013 г. N 1256-па</w:t>
      </w:r>
    </w:p>
    <w:p w:rsidR="00992475" w:rsidRDefault="00992475">
      <w:pPr>
        <w:pStyle w:val="ConsPlusNormal"/>
        <w:ind w:firstLine="540"/>
        <w:jc w:val="both"/>
      </w:pPr>
    </w:p>
    <w:p w:rsidR="00992475" w:rsidRDefault="00992475">
      <w:pPr>
        <w:pStyle w:val="ConsPlusTitle"/>
        <w:jc w:val="center"/>
      </w:pPr>
      <w:r>
        <w:t>ГОСУДАРСТВЕННАЯ ПРОГРАММА</w:t>
      </w:r>
    </w:p>
    <w:p w:rsidR="00992475" w:rsidRDefault="00992475">
      <w:pPr>
        <w:pStyle w:val="ConsPlusTitle"/>
        <w:jc w:val="center"/>
      </w:pPr>
      <w:r>
        <w:t>МАГАДАНСКОЙ ОБЛАСТИ "ОБЕСПЕЧЕНИЕ КАЧЕСТВЕННЫМИ</w:t>
      </w:r>
    </w:p>
    <w:p w:rsidR="00992475" w:rsidRDefault="00992475">
      <w:pPr>
        <w:pStyle w:val="ConsPlusTitle"/>
        <w:jc w:val="center"/>
      </w:pPr>
      <w:r>
        <w:t>ЖИЛИЩНО-КОММУНАЛЬНЫМИ УСЛУГАМИ И КОМФОРТНЫМИ УСЛОВИЯМИ</w:t>
      </w:r>
    </w:p>
    <w:p w:rsidR="00992475" w:rsidRDefault="00992475">
      <w:pPr>
        <w:pStyle w:val="ConsPlusTitle"/>
        <w:jc w:val="center"/>
      </w:pPr>
      <w:r>
        <w:t>ПРОЖИВАНИЯ НАСЕЛЕНИЯ МАГАДАНСКОЙ ОБЛАСТИ НА 2014-2020 ГОДЫ"</w:t>
      </w:r>
    </w:p>
    <w:p w:rsidR="00992475" w:rsidRDefault="00992475">
      <w:pPr>
        <w:pStyle w:val="ConsPlusNormal"/>
        <w:jc w:val="center"/>
      </w:pPr>
      <w:r>
        <w:t>Список изменяющих документов</w:t>
      </w:r>
    </w:p>
    <w:p w:rsidR="00992475" w:rsidRDefault="00992475">
      <w:pPr>
        <w:pStyle w:val="ConsPlusNormal"/>
        <w:jc w:val="center"/>
      </w:pPr>
      <w:r>
        <w:t>(в ред. Постановлений Правительства Магаданской области</w:t>
      </w:r>
    </w:p>
    <w:p w:rsidR="00992475" w:rsidRDefault="00992475">
      <w:pPr>
        <w:pStyle w:val="ConsPlusNormal"/>
        <w:jc w:val="center"/>
      </w:pPr>
      <w:r>
        <w:t xml:space="preserve">от 27.11.2014 </w:t>
      </w:r>
      <w:hyperlink r:id="rId4" w:history="1">
        <w:r>
          <w:rPr>
            <w:color w:val="0000FF"/>
          </w:rPr>
          <w:t>N 1005-пп</w:t>
        </w:r>
      </w:hyperlink>
      <w:r>
        <w:t>,</w:t>
      </w:r>
    </w:p>
    <w:p w:rsidR="00992475" w:rsidRDefault="00992475">
      <w:pPr>
        <w:pStyle w:val="ConsPlusNormal"/>
        <w:jc w:val="center"/>
      </w:pPr>
      <w:r>
        <w:t xml:space="preserve">от 18.12.2014 </w:t>
      </w:r>
      <w:hyperlink r:id="rId5" w:history="1">
        <w:r>
          <w:rPr>
            <w:color w:val="0000FF"/>
          </w:rPr>
          <w:t>N 1068-пп</w:t>
        </w:r>
      </w:hyperlink>
      <w:r>
        <w:t>,</w:t>
      </w:r>
    </w:p>
    <w:p w:rsidR="00992475" w:rsidRDefault="00992475">
      <w:pPr>
        <w:pStyle w:val="ConsPlusNormal"/>
        <w:jc w:val="center"/>
      </w:pPr>
      <w:r>
        <w:t xml:space="preserve">от 17.04.2015 </w:t>
      </w:r>
      <w:hyperlink r:id="rId6" w:history="1">
        <w:r>
          <w:rPr>
            <w:color w:val="0000FF"/>
          </w:rPr>
          <w:t>N 248-пп</w:t>
        </w:r>
      </w:hyperlink>
      <w:r>
        <w:t>,</w:t>
      </w:r>
    </w:p>
    <w:p w:rsidR="00992475" w:rsidRDefault="00992475">
      <w:pPr>
        <w:pStyle w:val="ConsPlusNormal"/>
        <w:jc w:val="center"/>
      </w:pPr>
      <w:r>
        <w:t xml:space="preserve">от 04.06.2015 </w:t>
      </w:r>
      <w:hyperlink r:id="rId7" w:history="1">
        <w:r>
          <w:rPr>
            <w:color w:val="0000FF"/>
          </w:rPr>
          <w:t>N 361-пп</w:t>
        </w:r>
      </w:hyperlink>
      <w:r>
        <w:t>)</w:t>
      </w:r>
    </w:p>
    <w:p w:rsidR="00992475" w:rsidRDefault="00992475">
      <w:pPr>
        <w:pStyle w:val="ConsPlusNormal"/>
        <w:jc w:val="center"/>
      </w:pPr>
    </w:p>
    <w:p w:rsidR="00992475" w:rsidRDefault="00992475">
      <w:pPr>
        <w:pStyle w:val="ConsPlusNormal"/>
        <w:jc w:val="center"/>
      </w:pPr>
      <w:r>
        <w:t>ПАСПОРТ</w:t>
      </w:r>
    </w:p>
    <w:p w:rsidR="00992475" w:rsidRDefault="00992475">
      <w:pPr>
        <w:pStyle w:val="ConsPlusNormal"/>
        <w:jc w:val="center"/>
      </w:pPr>
      <w:r>
        <w:t>государственной программы Магаданской области</w:t>
      </w:r>
    </w:p>
    <w:p w:rsidR="00992475" w:rsidRDefault="00992475">
      <w:pPr>
        <w:pStyle w:val="ConsPlusNormal"/>
        <w:jc w:val="center"/>
      </w:pPr>
      <w:r>
        <w:t>"Обеспечение качественными жилищно-коммунальными услугами</w:t>
      </w:r>
    </w:p>
    <w:p w:rsidR="00992475" w:rsidRDefault="00992475">
      <w:pPr>
        <w:pStyle w:val="ConsPlusNormal"/>
        <w:jc w:val="center"/>
      </w:pPr>
      <w:r>
        <w:t>и комфортными условиями проживания населения</w:t>
      </w:r>
    </w:p>
    <w:p w:rsidR="00992475" w:rsidRDefault="00992475">
      <w:pPr>
        <w:pStyle w:val="ConsPlusNormal"/>
        <w:jc w:val="center"/>
      </w:pPr>
      <w:r>
        <w:t>Магаданской области на 2014-2020 годы"</w:t>
      </w:r>
    </w:p>
    <w:p w:rsidR="00992475" w:rsidRDefault="00992475">
      <w:pPr>
        <w:pStyle w:val="ConsPlusNormal"/>
        <w:ind w:firstLine="540"/>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00"/>
        <w:gridCol w:w="7680"/>
      </w:tblGrid>
      <w:tr w:rsidR="00992475">
        <w:tc>
          <w:tcPr>
            <w:tcW w:w="2100" w:type="dxa"/>
          </w:tcPr>
          <w:p w:rsidR="00992475" w:rsidRDefault="00992475">
            <w:pPr>
              <w:pStyle w:val="ConsPlusNormal"/>
              <w:jc w:val="both"/>
            </w:pPr>
            <w:r>
              <w:t>Наименование государственной программы</w:t>
            </w:r>
          </w:p>
        </w:tc>
        <w:tc>
          <w:tcPr>
            <w:tcW w:w="7680" w:type="dxa"/>
          </w:tcPr>
          <w:p w:rsidR="00992475" w:rsidRDefault="00992475">
            <w:pPr>
              <w:pStyle w:val="ConsPlusNormal"/>
              <w:jc w:val="both"/>
            </w:pPr>
            <w:r>
              <w:t>государственная программа Магаданской области "Обеспечение качественными жилищно-коммунальными услугами и комфортными условиями проживания населения Магаданской области на 2014-2020 годы" (далее - государственная программа)</w:t>
            </w:r>
          </w:p>
        </w:tc>
      </w:tr>
      <w:tr w:rsidR="00992475">
        <w:tblPrEx>
          <w:tblBorders>
            <w:insideH w:val="nil"/>
          </w:tblBorders>
        </w:tblPrEx>
        <w:tc>
          <w:tcPr>
            <w:tcW w:w="2100" w:type="dxa"/>
            <w:tcBorders>
              <w:bottom w:val="nil"/>
            </w:tcBorders>
          </w:tcPr>
          <w:p w:rsidR="00992475" w:rsidRDefault="00992475">
            <w:pPr>
              <w:pStyle w:val="ConsPlusNormal"/>
              <w:jc w:val="both"/>
            </w:pPr>
            <w:r>
              <w:t>Цели государственной программы</w:t>
            </w:r>
          </w:p>
        </w:tc>
        <w:tc>
          <w:tcPr>
            <w:tcW w:w="7680" w:type="dxa"/>
            <w:tcBorders>
              <w:bottom w:val="nil"/>
            </w:tcBorders>
          </w:tcPr>
          <w:p w:rsidR="00992475" w:rsidRDefault="00992475">
            <w:pPr>
              <w:pStyle w:val="ConsPlusNormal"/>
              <w:jc w:val="both"/>
            </w:pPr>
            <w:r>
              <w:t>- повышение качества и надежности предоставления жилищно-коммунальных услуг населению Магаданской области;</w:t>
            </w:r>
          </w:p>
          <w:p w:rsidR="00992475" w:rsidRDefault="00992475">
            <w:pPr>
              <w:pStyle w:val="ConsPlusNormal"/>
              <w:jc w:val="both"/>
            </w:pPr>
            <w:r>
              <w:t>- повышение уровня благоустроенности территорий муниципальных образований Магаданской области;</w:t>
            </w:r>
          </w:p>
          <w:p w:rsidR="00992475" w:rsidRDefault="00992475">
            <w:pPr>
              <w:pStyle w:val="ConsPlusNormal"/>
              <w:jc w:val="both"/>
            </w:pPr>
            <w:r>
              <w:t>- обеспечение создания условий для реализации государственной программы</w:t>
            </w:r>
          </w:p>
        </w:tc>
      </w:tr>
      <w:tr w:rsidR="00992475">
        <w:tblPrEx>
          <w:tblBorders>
            <w:insideH w:val="nil"/>
          </w:tblBorders>
        </w:tblPrEx>
        <w:tc>
          <w:tcPr>
            <w:tcW w:w="9780" w:type="dxa"/>
            <w:gridSpan w:val="2"/>
            <w:tcBorders>
              <w:top w:val="nil"/>
            </w:tcBorders>
          </w:tcPr>
          <w:p w:rsidR="00992475" w:rsidRDefault="00992475">
            <w:pPr>
              <w:pStyle w:val="ConsPlusNormal"/>
              <w:jc w:val="both"/>
            </w:pPr>
            <w:r>
              <w:t xml:space="preserve">(в ред. </w:t>
            </w:r>
            <w:hyperlink r:id="rId8" w:history="1">
              <w:r>
                <w:rPr>
                  <w:color w:val="0000FF"/>
                </w:rPr>
                <w:t>Постановления</w:t>
              </w:r>
            </w:hyperlink>
            <w:r>
              <w:t xml:space="preserve"> Правительства Магаданской области от 17.04.2015 N 248-пп)</w:t>
            </w:r>
          </w:p>
        </w:tc>
      </w:tr>
      <w:tr w:rsidR="00992475">
        <w:tblPrEx>
          <w:tblBorders>
            <w:insideH w:val="nil"/>
          </w:tblBorders>
        </w:tblPrEx>
        <w:tc>
          <w:tcPr>
            <w:tcW w:w="2100" w:type="dxa"/>
            <w:tcBorders>
              <w:bottom w:val="nil"/>
            </w:tcBorders>
          </w:tcPr>
          <w:p w:rsidR="00992475" w:rsidRDefault="00992475">
            <w:pPr>
              <w:pStyle w:val="ConsPlusNormal"/>
              <w:jc w:val="both"/>
            </w:pPr>
            <w:r>
              <w:t>Задачи государственной программы</w:t>
            </w:r>
          </w:p>
        </w:tc>
        <w:tc>
          <w:tcPr>
            <w:tcW w:w="7680" w:type="dxa"/>
            <w:tcBorders>
              <w:bottom w:val="nil"/>
            </w:tcBorders>
          </w:tcPr>
          <w:p w:rsidR="00992475" w:rsidRDefault="00992475">
            <w:pPr>
              <w:pStyle w:val="ConsPlusNormal"/>
              <w:jc w:val="both"/>
            </w:pPr>
            <w:r>
              <w:t xml:space="preserve">- увеличение объема капитального ремонта многоквартирных домов для повышения их комфортности и </w:t>
            </w:r>
            <w:proofErr w:type="spellStart"/>
            <w:r>
              <w:t>энергоэффективности</w:t>
            </w:r>
            <w:proofErr w:type="spellEnd"/>
            <w:r>
              <w:t>;</w:t>
            </w:r>
          </w:p>
          <w:p w:rsidR="00992475" w:rsidRDefault="00992475">
            <w:pPr>
              <w:pStyle w:val="ConsPlusNormal"/>
              <w:jc w:val="both"/>
            </w:pPr>
            <w:r>
              <w:t>- обеспечение комфортными условиями проживания населения Магаданской области;</w:t>
            </w:r>
          </w:p>
          <w:p w:rsidR="00992475" w:rsidRDefault="00992475">
            <w:pPr>
              <w:pStyle w:val="ConsPlusNormal"/>
              <w:jc w:val="both"/>
            </w:pPr>
            <w:r>
              <w:t>- обеспечение деятельности и выполнение функций министерства строительства, жилищно-коммунального хозяйства и энергетики Магаданской области</w:t>
            </w:r>
          </w:p>
        </w:tc>
      </w:tr>
      <w:tr w:rsidR="00992475">
        <w:tblPrEx>
          <w:tblBorders>
            <w:insideH w:val="nil"/>
          </w:tblBorders>
        </w:tblPrEx>
        <w:tc>
          <w:tcPr>
            <w:tcW w:w="9780" w:type="dxa"/>
            <w:gridSpan w:val="2"/>
            <w:tcBorders>
              <w:top w:val="nil"/>
            </w:tcBorders>
          </w:tcPr>
          <w:p w:rsidR="00992475" w:rsidRDefault="00992475">
            <w:pPr>
              <w:pStyle w:val="ConsPlusNormal"/>
              <w:jc w:val="both"/>
            </w:pPr>
            <w:r>
              <w:t xml:space="preserve">(в ред. </w:t>
            </w:r>
            <w:hyperlink r:id="rId9" w:history="1">
              <w:r>
                <w:rPr>
                  <w:color w:val="0000FF"/>
                </w:rPr>
                <w:t>Постановления</w:t>
              </w:r>
            </w:hyperlink>
            <w:r>
              <w:t xml:space="preserve"> Правительства Магаданской области от 17.04.2015 N 248-пп)</w:t>
            </w:r>
          </w:p>
        </w:tc>
      </w:tr>
      <w:tr w:rsidR="00992475">
        <w:tc>
          <w:tcPr>
            <w:tcW w:w="2100" w:type="dxa"/>
          </w:tcPr>
          <w:p w:rsidR="00992475" w:rsidRDefault="00992475">
            <w:pPr>
              <w:pStyle w:val="ConsPlusNormal"/>
              <w:jc w:val="both"/>
            </w:pPr>
            <w:r>
              <w:t>Ответственный исполнитель государственной программы</w:t>
            </w:r>
          </w:p>
        </w:tc>
        <w:tc>
          <w:tcPr>
            <w:tcW w:w="7680" w:type="dxa"/>
          </w:tcPr>
          <w:p w:rsidR="00992475" w:rsidRDefault="00992475">
            <w:pPr>
              <w:pStyle w:val="ConsPlusNormal"/>
              <w:jc w:val="both"/>
            </w:pPr>
            <w:r>
              <w:t>министерство строительства, жилищно-коммунального хозяйства и энергетики Магаданской области</w:t>
            </w:r>
          </w:p>
        </w:tc>
      </w:tr>
      <w:tr w:rsidR="00992475">
        <w:tc>
          <w:tcPr>
            <w:tcW w:w="2100" w:type="dxa"/>
          </w:tcPr>
          <w:p w:rsidR="00992475" w:rsidRDefault="00992475">
            <w:pPr>
              <w:pStyle w:val="ConsPlusNormal"/>
              <w:jc w:val="both"/>
            </w:pPr>
            <w:r>
              <w:t>Соисполнители государственной программы</w:t>
            </w:r>
          </w:p>
        </w:tc>
        <w:tc>
          <w:tcPr>
            <w:tcW w:w="7680" w:type="dxa"/>
          </w:tcPr>
          <w:p w:rsidR="00992475" w:rsidRDefault="00992475">
            <w:pPr>
              <w:pStyle w:val="ConsPlusNormal"/>
              <w:jc w:val="both"/>
            </w:pPr>
            <w:r>
              <w:t>отсутствуют</w:t>
            </w:r>
          </w:p>
        </w:tc>
      </w:tr>
      <w:tr w:rsidR="00992475">
        <w:tblPrEx>
          <w:tblBorders>
            <w:insideH w:val="nil"/>
          </w:tblBorders>
        </w:tblPrEx>
        <w:tc>
          <w:tcPr>
            <w:tcW w:w="2100" w:type="dxa"/>
            <w:tcBorders>
              <w:bottom w:val="nil"/>
            </w:tcBorders>
          </w:tcPr>
          <w:p w:rsidR="00992475" w:rsidRDefault="00992475">
            <w:pPr>
              <w:pStyle w:val="ConsPlusNormal"/>
              <w:jc w:val="both"/>
            </w:pPr>
            <w:r>
              <w:t>Участники государственной программы</w:t>
            </w:r>
          </w:p>
        </w:tc>
        <w:tc>
          <w:tcPr>
            <w:tcW w:w="7680" w:type="dxa"/>
            <w:tcBorders>
              <w:bottom w:val="nil"/>
            </w:tcBorders>
          </w:tcPr>
          <w:p w:rsidR="00992475" w:rsidRDefault="00992475">
            <w:pPr>
              <w:pStyle w:val="ConsPlusNormal"/>
              <w:jc w:val="both"/>
            </w:pPr>
            <w:r>
              <w:t>- министерство строительства, жилищно-коммунального хозяйства и энергетики Магаданской области;</w:t>
            </w:r>
          </w:p>
          <w:p w:rsidR="00992475" w:rsidRDefault="00992475">
            <w:pPr>
              <w:pStyle w:val="ConsPlusNormal"/>
              <w:jc w:val="both"/>
            </w:pPr>
            <w:r>
              <w:t>- департамент физической культуры и спорта Магаданской области;</w:t>
            </w:r>
          </w:p>
          <w:p w:rsidR="00992475" w:rsidRDefault="00992475">
            <w:pPr>
              <w:pStyle w:val="ConsPlusNormal"/>
              <w:jc w:val="both"/>
            </w:pPr>
            <w:r>
              <w:lastRenderedPageBreak/>
              <w:t>- органы местного самоуправления муниципальных образований Магаданской области (по согласованию)</w:t>
            </w:r>
          </w:p>
        </w:tc>
      </w:tr>
      <w:tr w:rsidR="00992475">
        <w:tblPrEx>
          <w:tblBorders>
            <w:insideH w:val="nil"/>
          </w:tblBorders>
        </w:tblPrEx>
        <w:tc>
          <w:tcPr>
            <w:tcW w:w="9780" w:type="dxa"/>
            <w:gridSpan w:val="2"/>
            <w:tcBorders>
              <w:top w:val="nil"/>
            </w:tcBorders>
          </w:tcPr>
          <w:p w:rsidR="00992475" w:rsidRDefault="00992475">
            <w:pPr>
              <w:pStyle w:val="ConsPlusNormal"/>
              <w:jc w:val="both"/>
            </w:pPr>
            <w:r>
              <w:lastRenderedPageBreak/>
              <w:t xml:space="preserve">(в ред. </w:t>
            </w:r>
            <w:hyperlink r:id="rId10" w:history="1">
              <w:r>
                <w:rPr>
                  <w:color w:val="0000FF"/>
                </w:rPr>
                <w:t>Постановления</w:t>
              </w:r>
            </w:hyperlink>
            <w:r>
              <w:t xml:space="preserve"> Правительства Магаданской области от 04.06.2015 N 361-пп)</w:t>
            </w:r>
          </w:p>
        </w:tc>
      </w:tr>
      <w:tr w:rsidR="00992475">
        <w:tblPrEx>
          <w:tblBorders>
            <w:insideH w:val="nil"/>
          </w:tblBorders>
        </w:tblPrEx>
        <w:tc>
          <w:tcPr>
            <w:tcW w:w="2100" w:type="dxa"/>
            <w:tcBorders>
              <w:bottom w:val="nil"/>
            </w:tcBorders>
          </w:tcPr>
          <w:p w:rsidR="00992475" w:rsidRDefault="00992475">
            <w:pPr>
              <w:pStyle w:val="ConsPlusNormal"/>
              <w:jc w:val="both"/>
            </w:pPr>
            <w:r>
              <w:t>Подпрограммы государственной программы</w:t>
            </w:r>
          </w:p>
        </w:tc>
        <w:tc>
          <w:tcPr>
            <w:tcW w:w="7680" w:type="dxa"/>
            <w:tcBorders>
              <w:bottom w:val="nil"/>
            </w:tcBorders>
          </w:tcPr>
          <w:p w:rsidR="00992475" w:rsidRDefault="00992475">
            <w:pPr>
              <w:pStyle w:val="ConsPlusNormal"/>
              <w:jc w:val="both"/>
            </w:pPr>
            <w:hyperlink r:id="rId11" w:history="1">
              <w:r>
                <w:rPr>
                  <w:color w:val="0000FF"/>
                </w:rPr>
                <w:t>Подпрограмма 1</w:t>
              </w:r>
            </w:hyperlink>
            <w:r>
              <w:t xml:space="preserve"> "Оказание содействия муниципальным образованиям Магаданской области в проведении мероприятий по благоустройству территорий муниципальных образований на 2014-2020 годы";</w:t>
            </w:r>
          </w:p>
          <w:p w:rsidR="00992475" w:rsidRDefault="00992475">
            <w:pPr>
              <w:pStyle w:val="ConsPlusNormal"/>
              <w:jc w:val="both"/>
            </w:pPr>
            <w:hyperlink r:id="rId12" w:history="1">
              <w:r>
                <w:rPr>
                  <w:color w:val="0000FF"/>
                </w:rPr>
                <w:t>Подпрограмма 2</w:t>
              </w:r>
            </w:hyperlink>
            <w:r>
              <w:t xml:space="preserve"> "Создание условий для реализации государственной программы на 2015-2020 годы";</w:t>
            </w:r>
          </w:p>
          <w:p w:rsidR="00992475" w:rsidRDefault="00992475">
            <w:pPr>
              <w:pStyle w:val="ConsPlusNormal"/>
              <w:jc w:val="both"/>
            </w:pPr>
            <w:r>
              <w:t>отдельное мероприятие 1 "Предоставление субсидий в виде имущественного взноса некоммерческой организации "Фонд капитального ремонта Магаданской области";</w:t>
            </w:r>
          </w:p>
          <w:p w:rsidR="00992475" w:rsidRDefault="00992475">
            <w:pPr>
              <w:pStyle w:val="ConsPlusNormal"/>
              <w:jc w:val="both"/>
            </w:pPr>
            <w:r>
              <w:t>отдельное мероприятие 2 "Обеспечение исполнения мероприятий по капитальному ремонту многоквартирных домов по реализации краткосрочного плана региональной программы "Капитальный ремонт общего имущества многоквартирных домов, расположенных на территории Магаданской области" на период по 2044 год";</w:t>
            </w:r>
          </w:p>
          <w:p w:rsidR="00992475" w:rsidRDefault="00992475">
            <w:pPr>
              <w:pStyle w:val="ConsPlusNormal"/>
              <w:jc w:val="both"/>
            </w:pPr>
            <w:r>
              <w:t>отдельное мероприятие 3 "Оказание содействия муниципальным образованиям Магаданской области в проведении капитального ремонта многоквартирных домов в 2014 году"</w:t>
            </w:r>
          </w:p>
        </w:tc>
      </w:tr>
      <w:tr w:rsidR="00992475">
        <w:tblPrEx>
          <w:tblBorders>
            <w:insideH w:val="nil"/>
          </w:tblBorders>
        </w:tblPrEx>
        <w:tc>
          <w:tcPr>
            <w:tcW w:w="9780" w:type="dxa"/>
            <w:gridSpan w:val="2"/>
            <w:tcBorders>
              <w:top w:val="nil"/>
            </w:tcBorders>
          </w:tcPr>
          <w:p w:rsidR="00992475" w:rsidRDefault="00992475">
            <w:pPr>
              <w:pStyle w:val="ConsPlusNormal"/>
              <w:jc w:val="both"/>
            </w:pPr>
            <w:r>
              <w:t xml:space="preserve">(в ред. </w:t>
            </w:r>
            <w:hyperlink r:id="rId13" w:history="1">
              <w:r>
                <w:rPr>
                  <w:color w:val="0000FF"/>
                </w:rPr>
                <w:t>Постановления</w:t>
              </w:r>
            </w:hyperlink>
            <w:r>
              <w:t xml:space="preserve"> Правительства Магаданской области от 17.04.2015 N 248-пп)</w:t>
            </w:r>
          </w:p>
        </w:tc>
      </w:tr>
      <w:tr w:rsidR="00992475">
        <w:tc>
          <w:tcPr>
            <w:tcW w:w="2100" w:type="dxa"/>
          </w:tcPr>
          <w:p w:rsidR="00992475" w:rsidRDefault="00992475">
            <w:pPr>
              <w:pStyle w:val="ConsPlusNormal"/>
              <w:jc w:val="both"/>
            </w:pPr>
            <w:r>
              <w:t>Программно-целевые инструменты государственной программы</w:t>
            </w:r>
          </w:p>
        </w:tc>
        <w:tc>
          <w:tcPr>
            <w:tcW w:w="7680" w:type="dxa"/>
          </w:tcPr>
          <w:p w:rsidR="00992475" w:rsidRDefault="00992475">
            <w:pPr>
              <w:pStyle w:val="ConsPlusNormal"/>
              <w:jc w:val="both"/>
            </w:pPr>
            <w:r>
              <w:t>отсутствуют</w:t>
            </w:r>
          </w:p>
        </w:tc>
      </w:tr>
      <w:tr w:rsidR="00992475">
        <w:tblPrEx>
          <w:tblBorders>
            <w:insideH w:val="nil"/>
          </w:tblBorders>
        </w:tblPrEx>
        <w:tc>
          <w:tcPr>
            <w:tcW w:w="2100" w:type="dxa"/>
            <w:tcBorders>
              <w:bottom w:val="nil"/>
            </w:tcBorders>
          </w:tcPr>
          <w:p w:rsidR="00992475" w:rsidRDefault="00992475">
            <w:pPr>
              <w:pStyle w:val="ConsPlusNormal"/>
              <w:jc w:val="both"/>
            </w:pPr>
            <w:r>
              <w:t>Целевые показатели государственной программы</w:t>
            </w:r>
          </w:p>
        </w:tc>
        <w:tc>
          <w:tcPr>
            <w:tcW w:w="7680" w:type="dxa"/>
            <w:tcBorders>
              <w:bottom w:val="nil"/>
            </w:tcBorders>
          </w:tcPr>
          <w:p w:rsidR="00992475" w:rsidRDefault="00992475">
            <w:pPr>
              <w:pStyle w:val="ConsPlusNormal"/>
              <w:jc w:val="both"/>
            </w:pPr>
            <w:r>
              <w:t>- доля затрат, приходящихся на одного человека, проживающего в муниципальном образовании, на проведение мероприятий по благоустройству;</w:t>
            </w:r>
          </w:p>
          <w:p w:rsidR="00992475" w:rsidRDefault="00992475">
            <w:pPr>
              <w:pStyle w:val="ConsPlusNormal"/>
              <w:jc w:val="both"/>
            </w:pPr>
            <w:r>
              <w:t>- увеличение доли многоквартирных жилых домов, примыкающих к благоустроенным дворовым территориям;</w:t>
            </w:r>
          </w:p>
          <w:p w:rsidR="00992475" w:rsidRDefault="00992475">
            <w:pPr>
              <w:pStyle w:val="ConsPlusNormal"/>
              <w:jc w:val="both"/>
            </w:pPr>
            <w:r>
              <w:t xml:space="preserve">- улучшение качества дорожного покрытия </w:t>
            </w:r>
            <w:proofErr w:type="spellStart"/>
            <w:r>
              <w:t>внутридворовых</w:t>
            </w:r>
            <w:proofErr w:type="spellEnd"/>
            <w:r>
              <w:t xml:space="preserve"> </w:t>
            </w:r>
            <w:proofErr w:type="spellStart"/>
            <w:r>
              <w:t>автопроездов</w:t>
            </w:r>
            <w:proofErr w:type="spellEnd"/>
            <w:r>
              <w:t xml:space="preserve"> и дорог;</w:t>
            </w:r>
          </w:p>
          <w:p w:rsidR="00992475" w:rsidRDefault="00992475">
            <w:pPr>
              <w:pStyle w:val="ConsPlusNormal"/>
              <w:jc w:val="both"/>
            </w:pPr>
            <w:r>
              <w:t>- количество приобретенных спортивных детских игровых комплексов для благоустройства дворовых территорий;</w:t>
            </w:r>
          </w:p>
          <w:p w:rsidR="00992475" w:rsidRDefault="00992475">
            <w:pPr>
              <w:pStyle w:val="ConsPlusNormal"/>
              <w:jc w:val="both"/>
            </w:pPr>
            <w:r>
              <w:t>- доля государственных гражданских служащих министерства строительства, жилищно-коммунального хозяйства и энергетики Магаданской области, прошедших повышение квалификации в течение последних 3-х лет, в общей их численности;</w:t>
            </w:r>
          </w:p>
          <w:p w:rsidR="00992475" w:rsidRDefault="00992475">
            <w:pPr>
              <w:pStyle w:val="ConsPlusNormal"/>
              <w:jc w:val="both"/>
            </w:pPr>
            <w:r>
              <w:t>- укомплектованность должностей государственной гражданской службы министерства строительства, жилищно-коммунального хозяйства и энергетики Магаданской области;</w:t>
            </w:r>
          </w:p>
          <w:p w:rsidR="00992475" w:rsidRDefault="00992475">
            <w:pPr>
              <w:pStyle w:val="ConsPlusNormal"/>
              <w:jc w:val="both"/>
            </w:pPr>
            <w:r>
              <w:t>- исполнение бюджетной сметы в соответствии с доведенными лимитами бюджетных обязательств на очередной финансовый год;</w:t>
            </w:r>
          </w:p>
          <w:p w:rsidR="00992475" w:rsidRDefault="00992475">
            <w:pPr>
              <w:pStyle w:val="ConsPlusNormal"/>
              <w:jc w:val="both"/>
            </w:pPr>
            <w:r>
              <w:t>- количество многоквартирных домов, в которых планируется провести капитальный ремонт</w:t>
            </w:r>
          </w:p>
        </w:tc>
      </w:tr>
      <w:tr w:rsidR="00992475">
        <w:tblPrEx>
          <w:tblBorders>
            <w:insideH w:val="nil"/>
          </w:tblBorders>
        </w:tblPrEx>
        <w:tc>
          <w:tcPr>
            <w:tcW w:w="9780" w:type="dxa"/>
            <w:gridSpan w:val="2"/>
            <w:tcBorders>
              <w:top w:val="nil"/>
            </w:tcBorders>
          </w:tcPr>
          <w:p w:rsidR="00992475" w:rsidRDefault="00992475">
            <w:pPr>
              <w:pStyle w:val="ConsPlusNormal"/>
              <w:jc w:val="both"/>
            </w:pPr>
            <w:r>
              <w:t xml:space="preserve">(в ред. </w:t>
            </w:r>
            <w:hyperlink r:id="rId14" w:history="1">
              <w:r>
                <w:rPr>
                  <w:color w:val="0000FF"/>
                </w:rPr>
                <w:t>Постановления</w:t>
              </w:r>
            </w:hyperlink>
            <w:r>
              <w:t xml:space="preserve"> Правительства Магаданской области от 04.06.2015 N 361-пп)</w:t>
            </w:r>
          </w:p>
        </w:tc>
      </w:tr>
      <w:tr w:rsidR="00992475">
        <w:tc>
          <w:tcPr>
            <w:tcW w:w="2100" w:type="dxa"/>
          </w:tcPr>
          <w:p w:rsidR="00992475" w:rsidRDefault="00992475">
            <w:pPr>
              <w:pStyle w:val="ConsPlusNormal"/>
              <w:jc w:val="both"/>
            </w:pPr>
            <w:r>
              <w:t>Сроки и этапы реализации государственной программы</w:t>
            </w:r>
          </w:p>
        </w:tc>
        <w:tc>
          <w:tcPr>
            <w:tcW w:w="7680" w:type="dxa"/>
          </w:tcPr>
          <w:p w:rsidR="00992475" w:rsidRDefault="00992475">
            <w:pPr>
              <w:pStyle w:val="ConsPlusNormal"/>
              <w:jc w:val="both"/>
            </w:pPr>
            <w:r>
              <w:t>2014-2020 годы.</w:t>
            </w:r>
          </w:p>
          <w:p w:rsidR="00992475" w:rsidRDefault="00992475">
            <w:pPr>
              <w:pStyle w:val="ConsPlusNormal"/>
              <w:jc w:val="both"/>
            </w:pPr>
            <w:r>
              <w:t>Этапы государственной программы не выделяются</w:t>
            </w:r>
          </w:p>
        </w:tc>
      </w:tr>
      <w:tr w:rsidR="00992475">
        <w:tblPrEx>
          <w:tblBorders>
            <w:insideH w:val="nil"/>
          </w:tblBorders>
        </w:tblPrEx>
        <w:tc>
          <w:tcPr>
            <w:tcW w:w="2100" w:type="dxa"/>
            <w:tcBorders>
              <w:bottom w:val="nil"/>
            </w:tcBorders>
          </w:tcPr>
          <w:p w:rsidR="00992475" w:rsidRDefault="00992475">
            <w:pPr>
              <w:pStyle w:val="ConsPlusNormal"/>
              <w:jc w:val="both"/>
            </w:pPr>
            <w:r>
              <w:lastRenderedPageBreak/>
              <w:t>Ресурсное обеспечение государственной программы</w:t>
            </w:r>
          </w:p>
        </w:tc>
        <w:tc>
          <w:tcPr>
            <w:tcW w:w="7680" w:type="dxa"/>
            <w:tcBorders>
              <w:bottom w:val="nil"/>
            </w:tcBorders>
          </w:tcPr>
          <w:p w:rsidR="00992475" w:rsidRDefault="00992475">
            <w:pPr>
              <w:pStyle w:val="ConsPlusNormal"/>
              <w:jc w:val="both"/>
            </w:pPr>
            <w:r>
              <w:t>общий объем финансирования по государственной программе 999 816,288 тыс. рублей, в том числе по годам:</w:t>
            </w:r>
          </w:p>
          <w:p w:rsidR="00992475" w:rsidRDefault="00992475">
            <w:pPr>
              <w:pStyle w:val="ConsPlusNormal"/>
              <w:jc w:val="both"/>
            </w:pPr>
            <w:r>
              <w:t>2014 год - 316 254,627 тыс. рублей, из них средства:</w:t>
            </w:r>
          </w:p>
          <w:p w:rsidR="00992475" w:rsidRDefault="00992475">
            <w:pPr>
              <w:pStyle w:val="ConsPlusNormal"/>
              <w:jc w:val="both"/>
            </w:pPr>
            <w:r>
              <w:t>- областного бюджета - 300 853,063 тыс. рублей;</w:t>
            </w:r>
          </w:p>
          <w:p w:rsidR="00992475" w:rsidRDefault="00992475">
            <w:pPr>
              <w:pStyle w:val="ConsPlusNormal"/>
              <w:jc w:val="both"/>
            </w:pPr>
            <w:r>
              <w:t>- внебюджетных источников - 15 401,564 тыс. рублей;</w:t>
            </w:r>
          </w:p>
          <w:p w:rsidR="00992475" w:rsidRDefault="00992475">
            <w:pPr>
              <w:pStyle w:val="ConsPlusNormal"/>
              <w:jc w:val="both"/>
            </w:pPr>
            <w:r>
              <w:t>2015 год - 278 534,061 тыс. рублей, из них средства:</w:t>
            </w:r>
          </w:p>
          <w:p w:rsidR="00992475" w:rsidRDefault="00992475">
            <w:pPr>
              <w:pStyle w:val="ConsPlusNormal"/>
              <w:jc w:val="both"/>
            </w:pPr>
            <w:r>
              <w:t>- областного бюджета - 237 253,519 тыс. рублей;</w:t>
            </w:r>
          </w:p>
          <w:p w:rsidR="00992475" w:rsidRDefault="00992475">
            <w:pPr>
              <w:pStyle w:val="ConsPlusNormal"/>
              <w:jc w:val="both"/>
            </w:pPr>
            <w:r>
              <w:t>- внебюджетных источников - 41 280,542 тыс. рублей;</w:t>
            </w:r>
          </w:p>
          <w:p w:rsidR="00992475" w:rsidRDefault="00992475">
            <w:pPr>
              <w:pStyle w:val="ConsPlusNormal"/>
              <w:jc w:val="both"/>
            </w:pPr>
            <w:r>
              <w:t>2016 год - 127 513,800 тыс. рублей, из них средства:</w:t>
            </w:r>
          </w:p>
          <w:p w:rsidR="00992475" w:rsidRDefault="00992475">
            <w:pPr>
              <w:pStyle w:val="ConsPlusNormal"/>
              <w:jc w:val="both"/>
            </w:pPr>
            <w:r>
              <w:t>- областного бюджета - 127 513,800 тыс. рублей;</w:t>
            </w:r>
          </w:p>
          <w:p w:rsidR="00992475" w:rsidRDefault="00992475">
            <w:pPr>
              <w:pStyle w:val="ConsPlusNormal"/>
              <w:jc w:val="both"/>
            </w:pPr>
            <w:r>
              <w:t>- внебюджетных источников - 0,000 тыс. рублей;</w:t>
            </w:r>
          </w:p>
          <w:p w:rsidR="00992475" w:rsidRDefault="00992475">
            <w:pPr>
              <w:pStyle w:val="ConsPlusNormal"/>
              <w:jc w:val="both"/>
            </w:pPr>
            <w:r>
              <w:t>2017 год - 127 513,800 тыс. рублей, из них средства:</w:t>
            </w:r>
          </w:p>
          <w:p w:rsidR="00992475" w:rsidRDefault="00992475">
            <w:pPr>
              <w:pStyle w:val="ConsPlusNormal"/>
              <w:jc w:val="both"/>
            </w:pPr>
            <w:r>
              <w:t>- областного бюджета - 127 513,800 тыс. рублей;</w:t>
            </w:r>
          </w:p>
          <w:p w:rsidR="00992475" w:rsidRDefault="00992475">
            <w:pPr>
              <w:pStyle w:val="ConsPlusNormal"/>
              <w:jc w:val="both"/>
            </w:pPr>
            <w:r>
              <w:t>- внебюджетных источников - 0,000 тыс. рублей;</w:t>
            </w:r>
          </w:p>
          <w:p w:rsidR="00992475" w:rsidRDefault="00992475">
            <w:pPr>
              <w:pStyle w:val="ConsPlusNormal"/>
              <w:jc w:val="both"/>
            </w:pPr>
            <w:r>
              <w:t>2018 год - 50 000,0 тыс. рублей, из них средства:</w:t>
            </w:r>
          </w:p>
          <w:p w:rsidR="00992475" w:rsidRDefault="00992475">
            <w:pPr>
              <w:pStyle w:val="ConsPlusNormal"/>
              <w:jc w:val="both"/>
            </w:pPr>
            <w:r>
              <w:t>- областного бюджета - 50 000,000 тыс. рублей;</w:t>
            </w:r>
          </w:p>
          <w:p w:rsidR="00992475" w:rsidRDefault="00992475">
            <w:pPr>
              <w:pStyle w:val="ConsPlusNormal"/>
              <w:jc w:val="both"/>
            </w:pPr>
            <w:r>
              <w:t>- внебюджетных источников - 0,000 тыс. рублей;</w:t>
            </w:r>
          </w:p>
          <w:p w:rsidR="00992475" w:rsidRDefault="00992475">
            <w:pPr>
              <w:pStyle w:val="ConsPlusNormal"/>
              <w:jc w:val="both"/>
            </w:pPr>
            <w:r>
              <w:t>2019 год - 50 000,0 тыс. рублей, из них средства:</w:t>
            </w:r>
          </w:p>
          <w:p w:rsidR="00992475" w:rsidRDefault="00992475">
            <w:pPr>
              <w:pStyle w:val="ConsPlusNormal"/>
              <w:jc w:val="both"/>
            </w:pPr>
            <w:r>
              <w:t>- областного бюджета - 50 000,000 тыс. рублей;</w:t>
            </w:r>
          </w:p>
          <w:p w:rsidR="00992475" w:rsidRDefault="00992475">
            <w:pPr>
              <w:pStyle w:val="ConsPlusNormal"/>
              <w:jc w:val="both"/>
            </w:pPr>
            <w:r>
              <w:t>- внебюджетных источников - 0,000 тыс. рублей;</w:t>
            </w:r>
          </w:p>
          <w:p w:rsidR="00992475" w:rsidRDefault="00992475">
            <w:pPr>
              <w:pStyle w:val="ConsPlusNormal"/>
              <w:jc w:val="both"/>
            </w:pPr>
            <w:r>
              <w:t>2020 год - 50 000,0 тыс. рублей, из них средства:</w:t>
            </w:r>
          </w:p>
          <w:p w:rsidR="00992475" w:rsidRDefault="00992475">
            <w:pPr>
              <w:pStyle w:val="ConsPlusNormal"/>
              <w:jc w:val="both"/>
            </w:pPr>
            <w:r>
              <w:t>- областного бюджета - 50 000,000 тыс. рублей;</w:t>
            </w:r>
          </w:p>
          <w:p w:rsidR="00992475" w:rsidRDefault="00992475">
            <w:pPr>
              <w:pStyle w:val="ConsPlusNormal"/>
              <w:jc w:val="both"/>
            </w:pPr>
            <w:r>
              <w:t>- внебюджетных источников - 0,000 тыс. рублей.</w:t>
            </w:r>
          </w:p>
          <w:p w:rsidR="00992475" w:rsidRDefault="00992475">
            <w:pPr>
              <w:pStyle w:val="ConsPlusNormal"/>
              <w:jc w:val="both"/>
            </w:pPr>
            <w:r>
              <w:t>Финансирование по подпрограммам:</w:t>
            </w:r>
          </w:p>
          <w:p w:rsidR="00992475" w:rsidRDefault="00992475">
            <w:pPr>
              <w:pStyle w:val="ConsPlusNormal"/>
              <w:jc w:val="both"/>
            </w:pPr>
            <w:hyperlink r:id="rId15" w:history="1">
              <w:r>
                <w:rPr>
                  <w:color w:val="0000FF"/>
                </w:rPr>
                <w:t>Подпрограмма 1</w:t>
              </w:r>
            </w:hyperlink>
            <w:r>
              <w:t xml:space="preserve"> "Оказание содействия муниципальным образованиям Магаданской области в проведении мероприятий по благоустройству территорий муниципальных образований на 2014-2020 годы", общий объем финансирования за счет средств областного бюджета - 447 704,628 тыс. рублей, в том числе по годам:</w:t>
            </w:r>
          </w:p>
          <w:p w:rsidR="00992475" w:rsidRDefault="00992475">
            <w:pPr>
              <w:pStyle w:val="ConsPlusNormal"/>
              <w:jc w:val="both"/>
            </w:pPr>
            <w:r>
              <w:t>2014 год - 125 704,628 тыс. рублей;</w:t>
            </w:r>
          </w:p>
          <w:p w:rsidR="00992475" w:rsidRDefault="00992475">
            <w:pPr>
              <w:pStyle w:val="ConsPlusNormal"/>
              <w:jc w:val="both"/>
            </w:pPr>
            <w:r>
              <w:t>2015 год - 72 000,000 тыс. рублей;</w:t>
            </w:r>
          </w:p>
          <w:p w:rsidR="00992475" w:rsidRDefault="00992475">
            <w:pPr>
              <w:pStyle w:val="ConsPlusNormal"/>
              <w:jc w:val="both"/>
            </w:pPr>
            <w:r>
              <w:t>2016 год - 50 000,000 тыс. рублей;</w:t>
            </w:r>
          </w:p>
          <w:p w:rsidR="00992475" w:rsidRDefault="00992475">
            <w:pPr>
              <w:pStyle w:val="ConsPlusNormal"/>
              <w:jc w:val="both"/>
            </w:pPr>
            <w:r>
              <w:t>2017 год - 50 000,000 тыс. рублей;</w:t>
            </w:r>
          </w:p>
          <w:p w:rsidR="00992475" w:rsidRDefault="00992475">
            <w:pPr>
              <w:pStyle w:val="ConsPlusNormal"/>
              <w:jc w:val="both"/>
            </w:pPr>
            <w:r>
              <w:t>2018 год - 50 000,000 тыс. рублей;</w:t>
            </w:r>
          </w:p>
          <w:p w:rsidR="00992475" w:rsidRDefault="00992475">
            <w:pPr>
              <w:pStyle w:val="ConsPlusNormal"/>
              <w:jc w:val="both"/>
            </w:pPr>
            <w:r>
              <w:t>2019 год - 50 000,000 тыс. рублей;</w:t>
            </w:r>
          </w:p>
          <w:p w:rsidR="00992475" w:rsidRDefault="00992475">
            <w:pPr>
              <w:pStyle w:val="ConsPlusNormal"/>
              <w:jc w:val="both"/>
            </w:pPr>
            <w:r>
              <w:t>2020 год - 50 000,000 тыс. рублей.</w:t>
            </w:r>
          </w:p>
          <w:p w:rsidR="00992475" w:rsidRDefault="00992475">
            <w:pPr>
              <w:pStyle w:val="ConsPlusNormal"/>
              <w:jc w:val="both"/>
            </w:pPr>
            <w:hyperlink r:id="rId16" w:history="1">
              <w:r>
                <w:rPr>
                  <w:color w:val="0000FF"/>
                </w:rPr>
                <w:t>Подпрограмма 2</w:t>
              </w:r>
            </w:hyperlink>
            <w:r>
              <w:t xml:space="preserve"> "Создание условий для реализации государственной программы на 2015-2020 годы" общий объем финансирования за счет средств областного бюджета - 222 638,4 тыс. рублей, в том числе по годам:</w:t>
            </w:r>
          </w:p>
          <w:p w:rsidR="00992475" w:rsidRDefault="00992475">
            <w:pPr>
              <w:pStyle w:val="ConsPlusNormal"/>
              <w:jc w:val="both"/>
            </w:pPr>
            <w:r>
              <w:t>2015 год - 74 410,8 тыс. рублей;</w:t>
            </w:r>
          </w:p>
          <w:p w:rsidR="00992475" w:rsidRDefault="00992475">
            <w:pPr>
              <w:pStyle w:val="ConsPlusNormal"/>
              <w:jc w:val="both"/>
            </w:pPr>
            <w:r>
              <w:t>2016 год - 74 113,8 тыс. рублей;</w:t>
            </w:r>
          </w:p>
          <w:p w:rsidR="00992475" w:rsidRDefault="00992475">
            <w:pPr>
              <w:pStyle w:val="ConsPlusNormal"/>
              <w:jc w:val="both"/>
            </w:pPr>
            <w:r>
              <w:t>2017 год - 74 113,8 тыс. рублей;</w:t>
            </w:r>
          </w:p>
          <w:p w:rsidR="00992475" w:rsidRDefault="00992475">
            <w:pPr>
              <w:pStyle w:val="ConsPlusNormal"/>
              <w:jc w:val="both"/>
            </w:pPr>
            <w:r>
              <w:t>2018 год - 0,0 тыс. рублей;</w:t>
            </w:r>
          </w:p>
          <w:p w:rsidR="00992475" w:rsidRDefault="00992475">
            <w:pPr>
              <w:pStyle w:val="ConsPlusNormal"/>
              <w:jc w:val="both"/>
            </w:pPr>
            <w:r>
              <w:t>2019 год - 0,0 тыс. рублей;</w:t>
            </w:r>
          </w:p>
          <w:p w:rsidR="00992475" w:rsidRDefault="00992475">
            <w:pPr>
              <w:pStyle w:val="ConsPlusNormal"/>
              <w:jc w:val="both"/>
            </w:pPr>
            <w:r>
              <w:t>2020 год - 0,0 тыс. рублей.</w:t>
            </w:r>
          </w:p>
          <w:p w:rsidR="00992475" w:rsidRDefault="00992475">
            <w:pPr>
              <w:pStyle w:val="ConsPlusNormal"/>
              <w:jc w:val="both"/>
            </w:pPr>
            <w:r>
              <w:t>Отдельное мероприятие 1. "Предоставление субсидий в виде имущественного взноса некоммерческой организации "Фонд капитального ремонта Магаданской области", общий объем финансирования 143 405,716 за счет средств областного бюджета:</w:t>
            </w:r>
          </w:p>
          <w:p w:rsidR="00992475" w:rsidRDefault="00992475">
            <w:pPr>
              <w:pStyle w:val="ConsPlusNormal"/>
              <w:jc w:val="both"/>
            </w:pPr>
            <w:r>
              <w:t>2014 год - 66 605,716 тыс. рублей;</w:t>
            </w:r>
          </w:p>
          <w:p w:rsidR="00992475" w:rsidRDefault="00992475">
            <w:pPr>
              <w:pStyle w:val="ConsPlusNormal"/>
              <w:jc w:val="both"/>
            </w:pPr>
            <w:r>
              <w:t>2015 год - 70 000,000 тыс. рублей;</w:t>
            </w:r>
          </w:p>
          <w:p w:rsidR="00992475" w:rsidRDefault="00992475">
            <w:pPr>
              <w:pStyle w:val="ConsPlusNormal"/>
              <w:jc w:val="both"/>
            </w:pPr>
            <w:r>
              <w:t>2016 год - 3 400,000 тыс. рублей;</w:t>
            </w:r>
          </w:p>
          <w:p w:rsidR="00992475" w:rsidRDefault="00992475">
            <w:pPr>
              <w:pStyle w:val="ConsPlusNormal"/>
              <w:jc w:val="both"/>
            </w:pPr>
            <w:r>
              <w:t>2017 год - 3 400,000 тыс. рублей;</w:t>
            </w:r>
          </w:p>
          <w:p w:rsidR="00992475" w:rsidRDefault="00992475">
            <w:pPr>
              <w:pStyle w:val="ConsPlusNormal"/>
              <w:jc w:val="both"/>
            </w:pPr>
            <w:r>
              <w:t>2018 год - 0,000 тыс. рублей;</w:t>
            </w:r>
          </w:p>
          <w:p w:rsidR="00992475" w:rsidRDefault="00992475">
            <w:pPr>
              <w:pStyle w:val="ConsPlusNormal"/>
              <w:jc w:val="both"/>
            </w:pPr>
            <w:r>
              <w:t>2019 год - 0,000 тыс. рублей;</w:t>
            </w:r>
          </w:p>
          <w:p w:rsidR="00992475" w:rsidRDefault="00992475">
            <w:pPr>
              <w:pStyle w:val="ConsPlusNormal"/>
              <w:jc w:val="both"/>
            </w:pPr>
            <w:r>
              <w:t>2020 год - 0,000 тыс. рублей.</w:t>
            </w:r>
          </w:p>
          <w:p w:rsidR="00992475" w:rsidRDefault="00992475">
            <w:pPr>
              <w:pStyle w:val="ConsPlusNormal"/>
              <w:jc w:val="both"/>
            </w:pPr>
            <w:r>
              <w:t xml:space="preserve">Отдельное мероприятие 2. "Обеспечение исполнения мероприятий по </w:t>
            </w:r>
            <w:r>
              <w:lastRenderedPageBreak/>
              <w:t>капитальному ремонту многоквартирных домов по реализации краткосрочного плана региональной программы "Капитальный ремонт общего имущества многоквартирных домов, расположенных на территории Магаданской области" на период по 2044 год". Общий объем финансирования по государственной программе 55 888,566 тыс. рублей, в том числе по годам:</w:t>
            </w:r>
          </w:p>
          <w:p w:rsidR="00992475" w:rsidRDefault="00992475">
            <w:pPr>
              <w:pStyle w:val="ConsPlusNormal"/>
              <w:jc w:val="both"/>
            </w:pPr>
            <w:r>
              <w:t>2014 год - 27 944,283 тыс. рублей, из них средства:</w:t>
            </w:r>
          </w:p>
          <w:p w:rsidR="00992475" w:rsidRDefault="00992475">
            <w:pPr>
              <w:pStyle w:val="ConsPlusNormal"/>
              <w:jc w:val="both"/>
            </w:pPr>
            <w:r>
              <w:t>- областного бюджета - 12 542,719 тыс. рублей;</w:t>
            </w:r>
          </w:p>
          <w:p w:rsidR="00992475" w:rsidRDefault="00992475">
            <w:pPr>
              <w:pStyle w:val="ConsPlusNormal"/>
              <w:jc w:val="both"/>
            </w:pPr>
            <w:r>
              <w:t>- внебюджетных источников - 15 401,564 тыс. рублей;</w:t>
            </w:r>
          </w:p>
          <w:p w:rsidR="00992475" w:rsidRDefault="00992475">
            <w:pPr>
              <w:pStyle w:val="ConsPlusNormal"/>
              <w:jc w:val="both"/>
            </w:pPr>
            <w:r>
              <w:t>2015 год - 27 944,283 тыс. рублей, из них средства:</w:t>
            </w:r>
          </w:p>
          <w:p w:rsidR="00992475" w:rsidRDefault="00992475">
            <w:pPr>
              <w:pStyle w:val="ConsPlusNormal"/>
              <w:jc w:val="both"/>
            </w:pPr>
            <w:r>
              <w:t>- областного бюджета - 12 542,719 тыс. рублей;</w:t>
            </w:r>
          </w:p>
          <w:p w:rsidR="00992475" w:rsidRDefault="00992475">
            <w:pPr>
              <w:pStyle w:val="ConsPlusNormal"/>
              <w:jc w:val="both"/>
            </w:pPr>
            <w:r>
              <w:t>- внебюджетных источников - 15 401,564 тыс. рублей;</w:t>
            </w:r>
          </w:p>
          <w:p w:rsidR="00992475" w:rsidRDefault="00992475">
            <w:pPr>
              <w:pStyle w:val="ConsPlusNormal"/>
              <w:jc w:val="both"/>
            </w:pPr>
            <w:r>
              <w:t>2016 год - 0,000 тыс. рублей, из них средства:</w:t>
            </w:r>
          </w:p>
          <w:p w:rsidR="00992475" w:rsidRDefault="00992475">
            <w:pPr>
              <w:pStyle w:val="ConsPlusNormal"/>
              <w:jc w:val="both"/>
            </w:pPr>
            <w:r>
              <w:t>- областного бюджета - 0,000 тыс. рублей;</w:t>
            </w:r>
          </w:p>
          <w:p w:rsidR="00992475" w:rsidRDefault="00992475">
            <w:pPr>
              <w:pStyle w:val="ConsPlusNormal"/>
              <w:jc w:val="both"/>
            </w:pPr>
            <w:r>
              <w:t>- внебюджетных источников - 0,000 тыс. рублей;</w:t>
            </w:r>
          </w:p>
          <w:p w:rsidR="00992475" w:rsidRDefault="00992475">
            <w:pPr>
              <w:pStyle w:val="ConsPlusNormal"/>
              <w:jc w:val="both"/>
            </w:pPr>
            <w:r>
              <w:t>2017 год - 0,000 тыс. рублей, из них средства:</w:t>
            </w:r>
          </w:p>
          <w:p w:rsidR="00992475" w:rsidRDefault="00992475">
            <w:pPr>
              <w:pStyle w:val="ConsPlusNormal"/>
              <w:jc w:val="both"/>
            </w:pPr>
            <w:r>
              <w:t>- областного бюджета - 0,000 тыс. рублей;</w:t>
            </w:r>
          </w:p>
          <w:p w:rsidR="00992475" w:rsidRDefault="00992475">
            <w:pPr>
              <w:pStyle w:val="ConsPlusNormal"/>
              <w:jc w:val="both"/>
            </w:pPr>
            <w:r>
              <w:t>- внебюджетных источников - 0,000 тыс. рублей;</w:t>
            </w:r>
          </w:p>
          <w:p w:rsidR="00992475" w:rsidRDefault="00992475">
            <w:pPr>
              <w:pStyle w:val="ConsPlusNormal"/>
              <w:jc w:val="both"/>
            </w:pPr>
            <w:r>
              <w:t>2018 год - 0,000 тыс. рублей, из них средства:</w:t>
            </w:r>
          </w:p>
          <w:p w:rsidR="00992475" w:rsidRDefault="00992475">
            <w:pPr>
              <w:pStyle w:val="ConsPlusNormal"/>
              <w:jc w:val="both"/>
            </w:pPr>
            <w:r>
              <w:t>- областного бюджета - 0,000 тыс. рублей;</w:t>
            </w:r>
          </w:p>
          <w:p w:rsidR="00992475" w:rsidRDefault="00992475">
            <w:pPr>
              <w:pStyle w:val="ConsPlusNormal"/>
              <w:jc w:val="both"/>
            </w:pPr>
            <w:r>
              <w:t>- внебюджетных источников - 0,000 тыс. рублей;</w:t>
            </w:r>
          </w:p>
          <w:p w:rsidR="00992475" w:rsidRDefault="00992475">
            <w:pPr>
              <w:pStyle w:val="ConsPlusNormal"/>
              <w:jc w:val="both"/>
            </w:pPr>
            <w:r>
              <w:t>2019 год - 0,000 тыс. рублей, из них средства:</w:t>
            </w:r>
          </w:p>
          <w:p w:rsidR="00992475" w:rsidRDefault="00992475">
            <w:pPr>
              <w:pStyle w:val="ConsPlusNormal"/>
              <w:jc w:val="both"/>
            </w:pPr>
            <w:r>
              <w:t>- областного бюджета - 0,000 тыс. рублей;</w:t>
            </w:r>
          </w:p>
          <w:p w:rsidR="00992475" w:rsidRDefault="00992475">
            <w:pPr>
              <w:pStyle w:val="ConsPlusNormal"/>
              <w:jc w:val="both"/>
            </w:pPr>
            <w:r>
              <w:t>- внебюджетных источников - 0,000 тыс. рублей;</w:t>
            </w:r>
          </w:p>
          <w:p w:rsidR="00992475" w:rsidRDefault="00992475">
            <w:pPr>
              <w:pStyle w:val="ConsPlusNormal"/>
              <w:jc w:val="both"/>
            </w:pPr>
            <w:r>
              <w:t>2020 год - 0,000 тыс. рублей, из них средства:</w:t>
            </w:r>
          </w:p>
          <w:p w:rsidR="00992475" w:rsidRDefault="00992475">
            <w:pPr>
              <w:pStyle w:val="ConsPlusNormal"/>
              <w:jc w:val="both"/>
            </w:pPr>
            <w:r>
              <w:t>- областного бюджета - 0,000 тыс. рублей;</w:t>
            </w:r>
          </w:p>
          <w:p w:rsidR="00992475" w:rsidRDefault="00992475">
            <w:pPr>
              <w:pStyle w:val="ConsPlusNormal"/>
              <w:jc w:val="both"/>
            </w:pPr>
            <w:r>
              <w:t>- внебюджетных источников - 0,000 тыс. рублей.</w:t>
            </w:r>
          </w:p>
          <w:p w:rsidR="00992475" w:rsidRDefault="00992475">
            <w:pPr>
              <w:pStyle w:val="ConsPlusNormal"/>
              <w:jc w:val="both"/>
            </w:pPr>
            <w:r>
              <w:t>Отдельное мероприятие 3. "Оказание содействия муниципальным образованиям Магаданской области в проведении капитального ремонта многоквартирных домов в 2014 году". Общий объем финансирования 96 000,000 за счет средств областного бюджета:</w:t>
            </w:r>
          </w:p>
          <w:p w:rsidR="00992475" w:rsidRDefault="00992475">
            <w:pPr>
              <w:pStyle w:val="ConsPlusNormal"/>
              <w:jc w:val="both"/>
            </w:pPr>
            <w:r>
              <w:t>2014 год - 96 000,000 тыс. рублей;</w:t>
            </w:r>
          </w:p>
          <w:p w:rsidR="00992475" w:rsidRDefault="00992475">
            <w:pPr>
              <w:pStyle w:val="ConsPlusNormal"/>
              <w:jc w:val="both"/>
            </w:pPr>
            <w:r>
              <w:t>2015 год - 0,000 тыс. рублей;</w:t>
            </w:r>
          </w:p>
          <w:p w:rsidR="00992475" w:rsidRDefault="00992475">
            <w:pPr>
              <w:pStyle w:val="ConsPlusNormal"/>
              <w:jc w:val="both"/>
            </w:pPr>
            <w:r>
              <w:t>2016 год - 0,000 тыс. рублей;</w:t>
            </w:r>
          </w:p>
          <w:p w:rsidR="00992475" w:rsidRDefault="00992475">
            <w:pPr>
              <w:pStyle w:val="ConsPlusNormal"/>
              <w:jc w:val="both"/>
            </w:pPr>
            <w:r>
              <w:t>2017 год - 0,000 тыс. рублей;</w:t>
            </w:r>
          </w:p>
          <w:p w:rsidR="00992475" w:rsidRDefault="00992475">
            <w:pPr>
              <w:pStyle w:val="ConsPlusNormal"/>
              <w:jc w:val="both"/>
            </w:pPr>
            <w:r>
              <w:t>2018 год - 0,000 тыс. рублей;</w:t>
            </w:r>
          </w:p>
          <w:p w:rsidR="00992475" w:rsidRDefault="00992475">
            <w:pPr>
              <w:pStyle w:val="ConsPlusNormal"/>
              <w:jc w:val="both"/>
            </w:pPr>
            <w:r>
              <w:t>2019 год - 0,000 тыс. рублей;</w:t>
            </w:r>
          </w:p>
          <w:p w:rsidR="00992475" w:rsidRDefault="00992475">
            <w:pPr>
              <w:pStyle w:val="ConsPlusNormal"/>
              <w:jc w:val="both"/>
            </w:pPr>
            <w:r>
              <w:t>2020 год - 0,000 тыс. рублей.</w:t>
            </w:r>
          </w:p>
          <w:p w:rsidR="00992475" w:rsidRDefault="00992475">
            <w:pPr>
              <w:pStyle w:val="ConsPlusNormal"/>
              <w:jc w:val="both"/>
            </w:pPr>
            <w:r>
              <w:t>Отдельное мероприятие 4. "Оказание содействия муниципальным образованиям Магаданской области в проведении капитального ремонта многоквартирных домов за выполненные работы в рамках заключенных соглашений 2014 года". Общий объем финансирования 34 178,978 тыс. рублей, из них средства:</w:t>
            </w:r>
          </w:p>
          <w:p w:rsidR="00992475" w:rsidRDefault="00992475">
            <w:pPr>
              <w:pStyle w:val="ConsPlusNormal"/>
              <w:jc w:val="both"/>
            </w:pPr>
            <w:r>
              <w:t>- областного бюджета - 8 300,000 тыс. рублей</w:t>
            </w:r>
          </w:p>
          <w:p w:rsidR="00992475" w:rsidRDefault="00992475">
            <w:pPr>
              <w:pStyle w:val="ConsPlusNormal"/>
              <w:jc w:val="both"/>
            </w:pPr>
            <w:r>
              <w:t>- внебюджетных источников - 25 878,978 тыс. рублей;</w:t>
            </w:r>
          </w:p>
          <w:p w:rsidR="00992475" w:rsidRDefault="00992475">
            <w:pPr>
              <w:pStyle w:val="ConsPlusNormal"/>
              <w:jc w:val="both"/>
            </w:pPr>
            <w:r>
              <w:t>2014 год - 0,000 тыс. рублей, из них средства:</w:t>
            </w:r>
          </w:p>
          <w:p w:rsidR="00992475" w:rsidRDefault="00992475">
            <w:pPr>
              <w:pStyle w:val="ConsPlusNormal"/>
              <w:jc w:val="both"/>
            </w:pPr>
            <w:r>
              <w:t>- областного бюджета - 0,000 тыс. рублей;</w:t>
            </w:r>
          </w:p>
          <w:p w:rsidR="00992475" w:rsidRDefault="00992475">
            <w:pPr>
              <w:pStyle w:val="ConsPlusNormal"/>
              <w:jc w:val="both"/>
            </w:pPr>
            <w:r>
              <w:t>- внебюджетных источников - 0,000 тыс. рублей;</w:t>
            </w:r>
          </w:p>
          <w:p w:rsidR="00992475" w:rsidRDefault="00992475">
            <w:pPr>
              <w:pStyle w:val="ConsPlusNormal"/>
              <w:jc w:val="both"/>
            </w:pPr>
            <w:r>
              <w:t>2015 год - 34 178,978 тыс. рублей, из них средства:</w:t>
            </w:r>
          </w:p>
          <w:p w:rsidR="00992475" w:rsidRDefault="00992475">
            <w:pPr>
              <w:pStyle w:val="ConsPlusNormal"/>
              <w:jc w:val="both"/>
            </w:pPr>
            <w:r>
              <w:t>- областного бюджета - 8 300,000 тыс. рублей</w:t>
            </w:r>
          </w:p>
          <w:p w:rsidR="00992475" w:rsidRDefault="00992475">
            <w:pPr>
              <w:pStyle w:val="ConsPlusNormal"/>
              <w:jc w:val="both"/>
            </w:pPr>
            <w:r>
              <w:t>- внебюджетных источников - 25 878,978 тыс. рублей;</w:t>
            </w:r>
          </w:p>
          <w:p w:rsidR="00992475" w:rsidRDefault="00992475">
            <w:pPr>
              <w:pStyle w:val="ConsPlusNormal"/>
              <w:jc w:val="both"/>
            </w:pPr>
            <w:r>
              <w:t>2016 год - 0,000 тыс. рублей, из них средства:</w:t>
            </w:r>
          </w:p>
          <w:p w:rsidR="00992475" w:rsidRDefault="00992475">
            <w:pPr>
              <w:pStyle w:val="ConsPlusNormal"/>
              <w:jc w:val="both"/>
            </w:pPr>
            <w:r>
              <w:t>- областного бюджета - 0,000 тыс. рублей;</w:t>
            </w:r>
          </w:p>
          <w:p w:rsidR="00992475" w:rsidRDefault="00992475">
            <w:pPr>
              <w:pStyle w:val="ConsPlusNormal"/>
              <w:jc w:val="both"/>
            </w:pPr>
            <w:r>
              <w:t>- внебюджетных источников - 0,000 тыс. рублей;</w:t>
            </w:r>
          </w:p>
          <w:p w:rsidR="00992475" w:rsidRDefault="00992475">
            <w:pPr>
              <w:pStyle w:val="ConsPlusNormal"/>
              <w:jc w:val="both"/>
            </w:pPr>
            <w:r>
              <w:t>2017 год - 0,000 тыс. рублей, из них средства:</w:t>
            </w:r>
          </w:p>
          <w:p w:rsidR="00992475" w:rsidRDefault="00992475">
            <w:pPr>
              <w:pStyle w:val="ConsPlusNormal"/>
              <w:jc w:val="both"/>
            </w:pPr>
            <w:r>
              <w:t>- областного бюджета - 0,000 тыс. рублей;</w:t>
            </w:r>
          </w:p>
          <w:p w:rsidR="00992475" w:rsidRDefault="00992475">
            <w:pPr>
              <w:pStyle w:val="ConsPlusNormal"/>
              <w:jc w:val="both"/>
            </w:pPr>
            <w:r>
              <w:t>- внебюджетных источников - 0,000 тыс. рублей;</w:t>
            </w:r>
          </w:p>
          <w:p w:rsidR="00992475" w:rsidRDefault="00992475">
            <w:pPr>
              <w:pStyle w:val="ConsPlusNormal"/>
              <w:jc w:val="both"/>
            </w:pPr>
            <w:r>
              <w:lastRenderedPageBreak/>
              <w:t>2018 год - 0,000 тыс. рублей, из них средства:</w:t>
            </w:r>
          </w:p>
          <w:p w:rsidR="00992475" w:rsidRDefault="00992475">
            <w:pPr>
              <w:pStyle w:val="ConsPlusNormal"/>
              <w:jc w:val="both"/>
            </w:pPr>
            <w:r>
              <w:t>- областного бюджета - 0,000 тыс. рублей;</w:t>
            </w:r>
          </w:p>
          <w:p w:rsidR="00992475" w:rsidRDefault="00992475">
            <w:pPr>
              <w:pStyle w:val="ConsPlusNormal"/>
              <w:jc w:val="both"/>
            </w:pPr>
            <w:r>
              <w:t>- внебюджетных источников - 0,000 тыс. рублей;</w:t>
            </w:r>
          </w:p>
          <w:p w:rsidR="00992475" w:rsidRDefault="00992475">
            <w:pPr>
              <w:pStyle w:val="ConsPlusNormal"/>
              <w:jc w:val="both"/>
            </w:pPr>
            <w:r>
              <w:t>2019 год - 0,000 тыс. рублей, из них средства:</w:t>
            </w:r>
          </w:p>
          <w:p w:rsidR="00992475" w:rsidRDefault="00992475">
            <w:pPr>
              <w:pStyle w:val="ConsPlusNormal"/>
              <w:jc w:val="both"/>
            </w:pPr>
            <w:r>
              <w:t>- областного бюджета - 0,000 тыс. рублей;</w:t>
            </w:r>
          </w:p>
          <w:p w:rsidR="00992475" w:rsidRDefault="00992475">
            <w:pPr>
              <w:pStyle w:val="ConsPlusNormal"/>
              <w:jc w:val="both"/>
            </w:pPr>
            <w:r>
              <w:t>- внебюджетных источников - 0,000 тыс. рублей;</w:t>
            </w:r>
          </w:p>
          <w:p w:rsidR="00992475" w:rsidRDefault="00992475">
            <w:pPr>
              <w:pStyle w:val="ConsPlusNormal"/>
              <w:jc w:val="both"/>
            </w:pPr>
            <w:r>
              <w:t>2020 год - 0,000 тыс. рублей, из них средства:</w:t>
            </w:r>
          </w:p>
          <w:p w:rsidR="00992475" w:rsidRDefault="00992475">
            <w:pPr>
              <w:pStyle w:val="ConsPlusNormal"/>
              <w:jc w:val="both"/>
            </w:pPr>
            <w:r>
              <w:t>- областного бюджета - 0,000 тыс. рублей;</w:t>
            </w:r>
          </w:p>
          <w:p w:rsidR="00992475" w:rsidRDefault="00992475">
            <w:pPr>
              <w:pStyle w:val="ConsPlusNormal"/>
              <w:jc w:val="both"/>
            </w:pPr>
            <w:r>
              <w:t>- внебюджетных источников - 0,000 тыс. рублей</w:t>
            </w:r>
          </w:p>
        </w:tc>
      </w:tr>
      <w:tr w:rsidR="00992475">
        <w:tblPrEx>
          <w:tblBorders>
            <w:insideH w:val="nil"/>
          </w:tblBorders>
        </w:tblPrEx>
        <w:tc>
          <w:tcPr>
            <w:tcW w:w="9780" w:type="dxa"/>
            <w:gridSpan w:val="2"/>
            <w:tcBorders>
              <w:top w:val="nil"/>
            </w:tcBorders>
          </w:tcPr>
          <w:p w:rsidR="00992475" w:rsidRDefault="00992475">
            <w:pPr>
              <w:pStyle w:val="ConsPlusNormal"/>
              <w:jc w:val="both"/>
            </w:pPr>
            <w:r>
              <w:lastRenderedPageBreak/>
              <w:t xml:space="preserve">(в ред. </w:t>
            </w:r>
            <w:hyperlink r:id="rId17" w:history="1">
              <w:r>
                <w:rPr>
                  <w:color w:val="0000FF"/>
                </w:rPr>
                <w:t>Постановления</w:t>
              </w:r>
            </w:hyperlink>
            <w:r>
              <w:t xml:space="preserve"> Правительства Магаданской области от 04.06.2015 N 361-пп)</w:t>
            </w:r>
          </w:p>
        </w:tc>
      </w:tr>
      <w:tr w:rsidR="00992475">
        <w:tblPrEx>
          <w:tblBorders>
            <w:insideH w:val="nil"/>
          </w:tblBorders>
        </w:tblPrEx>
        <w:tc>
          <w:tcPr>
            <w:tcW w:w="2100" w:type="dxa"/>
            <w:tcBorders>
              <w:bottom w:val="nil"/>
            </w:tcBorders>
          </w:tcPr>
          <w:p w:rsidR="00992475" w:rsidRDefault="00992475">
            <w:pPr>
              <w:pStyle w:val="ConsPlusNormal"/>
              <w:jc w:val="both"/>
            </w:pPr>
            <w:r>
              <w:t>Ожидаемые результаты реализации государственной программы</w:t>
            </w:r>
          </w:p>
        </w:tc>
        <w:tc>
          <w:tcPr>
            <w:tcW w:w="7680" w:type="dxa"/>
            <w:tcBorders>
              <w:bottom w:val="nil"/>
            </w:tcBorders>
          </w:tcPr>
          <w:p w:rsidR="00992475" w:rsidRDefault="00992475">
            <w:pPr>
              <w:pStyle w:val="ConsPlusNormal"/>
              <w:jc w:val="both"/>
            </w:pPr>
            <w:r>
              <w:t>- увеличение доли муниципальных образований с благоустроенными дворовыми территориями;</w:t>
            </w:r>
          </w:p>
          <w:p w:rsidR="00992475" w:rsidRDefault="00992475">
            <w:pPr>
              <w:pStyle w:val="ConsPlusNormal"/>
              <w:jc w:val="both"/>
            </w:pPr>
            <w:r>
              <w:t>- увеличение доли затрат, приходящихся на одного человека, проживающего в муниципальном образовании, на проведение мероприятий по благоустройству;</w:t>
            </w:r>
          </w:p>
          <w:p w:rsidR="00992475" w:rsidRDefault="00992475">
            <w:pPr>
              <w:pStyle w:val="ConsPlusNormal"/>
              <w:jc w:val="both"/>
            </w:pPr>
            <w:r>
              <w:t xml:space="preserve">- приведение технического состояния дорожного покрытия </w:t>
            </w:r>
            <w:proofErr w:type="spellStart"/>
            <w:r>
              <w:t>внутридворовых</w:t>
            </w:r>
            <w:proofErr w:type="spellEnd"/>
            <w:r>
              <w:t xml:space="preserve"> </w:t>
            </w:r>
            <w:proofErr w:type="spellStart"/>
            <w:r>
              <w:t>автопроездов</w:t>
            </w:r>
            <w:proofErr w:type="spellEnd"/>
            <w:r>
              <w:t xml:space="preserve"> и дорог в соответствие с нормативными требованиями;</w:t>
            </w:r>
          </w:p>
          <w:p w:rsidR="00992475" w:rsidRDefault="00992475">
            <w:pPr>
              <w:pStyle w:val="ConsPlusNormal"/>
              <w:jc w:val="both"/>
            </w:pPr>
            <w:r>
              <w:t>- оснащение дворовых территорий спортивными детскими игровыми комплексами для обеспечения комфортных условий проживания населения;</w:t>
            </w:r>
          </w:p>
          <w:p w:rsidR="00992475" w:rsidRDefault="00992475">
            <w:pPr>
              <w:pStyle w:val="ConsPlusNormal"/>
              <w:jc w:val="both"/>
            </w:pPr>
            <w:r>
              <w:t>- повышение качества исполнения государственных функций в сфере деятельности министерства строительства, жилищно-коммунального хозяйства и энергетики Магаданской области;</w:t>
            </w:r>
          </w:p>
          <w:p w:rsidR="00992475" w:rsidRDefault="00992475">
            <w:pPr>
              <w:pStyle w:val="ConsPlusNormal"/>
              <w:jc w:val="both"/>
            </w:pPr>
            <w:r>
              <w:t>- увеличение доли многоквартирных жилых домов в которых осуществлен капитальный ремонт общего имущества;</w:t>
            </w:r>
          </w:p>
          <w:p w:rsidR="00992475" w:rsidRDefault="00992475">
            <w:pPr>
              <w:pStyle w:val="ConsPlusNormal"/>
              <w:jc w:val="both"/>
            </w:pPr>
            <w:r>
              <w:t>- приведение технического состояния многоквартирных домов в соответствие с нормативными требованиями</w:t>
            </w:r>
          </w:p>
        </w:tc>
      </w:tr>
      <w:tr w:rsidR="00992475">
        <w:tblPrEx>
          <w:tblBorders>
            <w:insideH w:val="nil"/>
          </w:tblBorders>
        </w:tblPrEx>
        <w:tc>
          <w:tcPr>
            <w:tcW w:w="9780" w:type="dxa"/>
            <w:gridSpan w:val="2"/>
            <w:tcBorders>
              <w:top w:val="nil"/>
            </w:tcBorders>
          </w:tcPr>
          <w:p w:rsidR="00992475" w:rsidRDefault="00992475">
            <w:pPr>
              <w:pStyle w:val="ConsPlusNormal"/>
              <w:jc w:val="both"/>
            </w:pPr>
            <w:r>
              <w:t xml:space="preserve">(в ред. </w:t>
            </w:r>
            <w:hyperlink r:id="rId18" w:history="1">
              <w:r>
                <w:rPr>
                  <w:color w:val="0000FF"/>
                </w:rPr>
                <w:t>Постановления</w:t>
              </w:r>
            </w:hyperlink>
            <w:r>
              <w:t xml:space="preserve"> Правительства Магаданской области от 04.06.2015 N 361-пп)</w:t>
            </w:r>
          </w:p>
        </w:tc>
      </w:tr>
    </w:tbl>
    <w:p w:rsidR="006E73BA" w:rsidRDefault="00992475" w:rsidP="00992475">
      <w:pPr>
        <w:pStyle w:val="ConsPlusNormal"/>
      </w:pPr>
      <w:hyperlink r:id="rId19" w:history="1">
        <w:r>
          <w:rPr>
            <w:i/>
            <w:color w:val="0000FF"/>
          </w:rPr>
          <w:br/>
          <w:t>Постановление администрации Магаданской области от 12.12.2013 N 1256-па (ред. от 04.06.2015) "Об утверждении государственной программы Магаданской области "Обеспечение качественными жилищно-коммунальными услугами и комфортными условиями проживания населения Магаданской области на 2014-2020 годы" {</w:t>
        </w:r>
        <w:proofErr w:type="spellStart"/>
        <w:r>
          <w:rPr>
            <w:i/>
            <w:color w:val="0000FF"/>
          </w:rPr>
          <w:t>КонсультантПлюс</w:t>
        </w:r>
        <w:proofErr w:type="spellEnd"/>
        <w:r>
          <w:rPr>
            <w:i/>
            <w:color w:val="0000FF"/>
          </w:rPr>
          <w:t>}</w:t>
        </w:r>
        <w:r>
          <w:rPr>
            <w:i/>
            <w:color w:val="0000FF"/>
          </w:rPr>
          <w:br/>
        </w:r>
      </w:hyperlink>
    </w:p>
    <w:p w:rsidR="0047426C" w:rsidRDefault="00992475"/>
    <w:sectPr w:rsidR="0047426C" w:rsidSect="00992475">
      <w:pgSz w:w="11906" w:h="16838"/>
      <w:pgMar w:top="142"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3BA"/>
    <w:rsid w:val="00350105"/>
    <w:rsid w:val="006E73BA"/>
    <w:rsid w:val="00992475"/>
    <w:rsid w:val="00D429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F843DF-80AA-430A-B681-3FE9462F8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247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
    <w:name w:val="ConsPlusTitle"/>
    <w:rsid w:val="00992475"/>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7D3EDE58CE03D40086CA662E71620200729AB3E02E9CEDEBFCDC9351239A1424C39770807B911F06AF629o7v0F" TargetMode="External"/><Relationship Id="rId13" Type="http://schemas.openxmlformats.org/officeDocument/2006/relationships/hyperlink" Target="consultantplus://offline/ref=E7D3EDE58CE03D40086CA662E71620200729AB3E02E9CEDEBFCDC9351239A1424C39770807B911F06AF628o7v0F" TargetMode="External"/><Relationship Id="rId18" Type="http://schemas.openxmlformats.org/officeDocument/2006/relationships/hyperlink" Target="consultantplus://offline/ref=E7D3EDE58CE03D40086CA662E71620200729AB3E02E9CADDB8CDC9351239A1424C39770807B911F06AF62Bo7vAF"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E7D3EDE58CE03D40086CA662E71620200729AB3E02E9CADDB8CDC9351239A1424C39770807B911F06AF629o7vEF" TargetMode="External"/><Relationship Id="rId12" Type="http://schemas.openxmlformats.org/officeDocument/2006/relationships/hyperlink" Target="consultantplus://offline/ref=E7D3EDE58CE03D40086CA662E71620200729AB3E02E8CDDABACDC9351239A1424C39770807B911F06CF72Fo7vFF" TargetMode="External"/><Relationship Id="rId17" Type="http://schemas.openxmlformats.org/officeDocument/2006/relationships/hyperlink" Target="consultantplus://offline/ref=E7D3EDE58CE03D40086CA662E71620200729AB3E02E9CADDB8CDC9351239A1424C39770807B911F06AF628o7vFF" TargetMode="External"/><Relationship Id="rId2" Type="http://schemas.openxmlformats.org/officeDocument/2006/relationships/settings" Target="settings.xml"/><Relationship Id="rId16" Type="http://schemas.openxmlformats.org/officeDocument/2006/relationships/hyperlink" Target="consultantplus://offline/ref=E7D3EDE58CE03D40086CA662E71620200729AB3E02E8CDDABACDC9351239A1424C39770807B911F06CF72Fo7vFF"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7D3EDE58CE03D40086CA662E71620200729AB3E02E9CEDEBFCDC9351239A1424C39770807B911F06AF629o7vEF" TargetMode="External"/><Relationship Id="rId11" Type="http://schemas.openxmlformats.org/officeDocument/2006/relationships/hyperlink" Target="consultantplus://offline/ref=E7D3EDE58CE03D40086CA662E71620200729AB3E02E8CDDABACDC9351239A1424C39770807B911F06EF22Eo7vFF" TargetMode="External"/><Relationship Id="rId5" Type="http://schemas.openxmlformats.org/officeDocument/2006/relationships/hyperlink" Target="consultantplus://offline/ref=E7D3EDE58CE03D40086CA662E71620200729AB3E02EECAD6BCCDC9351239A1424C39770807B911F06AF629o7vDF" TargetMode="External"/><Relationship Id="rId15" Type="http://schemas.openxmlformats.org/officeDocument/2006/relationships/hyperlink" Target="consultantplus://offline/ref=E7D3EDE58CE03D40086CA662E71620200729AB3E02E8CDDABACDC9351239A1424C39770807B911F06EF22Eo7vFF" TargetMode="External"/><Relationship Id="rId10" Type="http://schemas.openxmlformats.org/officeDocument/2006/relationships/hyperlink" Target="consultantplus://offline/ref=E7D3EDE58CE03D40086CA662E71620200729AB3E02E9CADDB8CDC9351239A1424C39770807B911F06AF629o7vFF" TargetMode="External"/><Relationship Id="rId19" Type="http://schemas.openxmlformats.org/officeDocument/2006/relationships/hyperlink" Target="consultantplus://offline/ref=E7D3EDE58CE03D40086CA662E71620200729AB3E02E8CDDABACDC9351239A1424C39770807B911F06AF6297844246BoEv2F" TargetMode="External"/><Relationship Id="rId4" Type="http://schemas.openxmlformats.org/officeDocument/2006/relationships/hyperlink" Target="consultantplus://offline/ref=E7D3EDE58CE03D40086CA662E71620200729AB3E02E9CDDCB8CDC9351239A1424C39770807B911F06AF629o7vFF" TargetMode="External"/><Relationship Id="rId9" Type="http://schemas.openxmlformats.org/officeDocument/2006/relationships/hyperlink" Target="consultantplus://offline/ref=E7D3EDE58CE03D40086CA662E71620200729AB3E02E9CEDEBFCDC9351239A1424C39770807B911F06AF628o7vBF" TargetMode="External"/><Relationship Id="rId14" Type="http://schemas.openxmlformats.org/officeDocument/2006/relationships/hyperlink" Target="consultantplus://offline/ref=E7D3EDE58CE03D40086CA662E71620200729AB3E02E9CADDB8CDC9351239A1424C39770807B911F06AF628o7v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2099</Words>
  <Characters>11965</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С. Сигитова</dc:creator>
  <cp:lastModifiedBy>Сигитова Елена Сергеевна</cp:lastModifiedBy>
  <cp:revision>2</cp:revision>
  <dcterms:created xsi:type="dcterms:W3CDTF">2014-10-22T23:49:00Z</dcterms:created>
  <dcterms:modified xsi:type="dcterms:W3CDTF">2015-10-30T05:52:00Z</dcterms:modified>
</cp:coreProperties>
</file>