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0E" w:rsidRDefault="0036700E">
      <w:pPr>
        <w:pStyle w:val="ConsPlusNormal"/>
        <w:ind w:firstLine="540"/>
        <w:jc w:val="both"/>
      </w:pPr>
    </w:p>
    <w:p w:rsidR="0036700E" w:rsidRDefault="0036700E">
      <w:pPr>
        <w:pStyle w:val="ConsPlusNormal"/>
        <w:jc w:val="right"/>
      </w:pPr>
      <w:r>
        <w:t>Утверждена</w:t>
      </w:r>
    </w:p>
    <w:p w:rsidR="0036700E" w:rsidRDefault="0036700E">
      <w:pPr>
        <w:pStyle w:val="ConsPlusNormal"/>
        <w:jc w:val="right"/>
      </w:pPr>
      <w:r>
        <w:t>постановлением</w:t>
      </w:r>
    </w:p>
    <w:p w:rsidR="0036700E" w:rsidRDefault="0036700E">
      <w:pPr>
        <w:pStyle w:val="ConsPlusNormal"/>
        <w:jc w:val="right"/>
      </w:pPr>
      <w:r>
        <w:t>администрации Магаданской области</w:t>
      </w:r>
    </w:p>
    <w:p w:rsidR="0036700E" w:rsidRDefault="0036700E">
      <w:pPr>
        <w:pStyle w:val="ConsPlusNormal"/>
        <w:jc w:val="right"/>
      </w:pPr>
      <w:r>
        <w:t>от 14 ноября 2013 г. N 1123-па</w:t>
      </w:r>
    </w:p>
    <w:p w:rsidR="0036700E" w:rsidRDefault="0036700E">
      <w:pPr>
        <w:pStyle w:val="ConsPlusNormal"/>
        <w:jc w:val="center"/>
      </w:pPr>
    </w:p>
    <w:p w:rsidR="0036700E" w:rsidRDefault="0036700E">
      <w:pPr>
        <w:pStyle w:val="ConsPlusTitle"/>
        <w:jc w:val="center"/>
      </w:pPr>
      <w:r>
        <w:t>ГОСУДАРСТВЕННАЯ ПРОГРАММА МАГАДАНСКОЙ ОБЛАСТИ</w:t>
      </w:r>
    </w:p>
    <w:p w:rsidR="0036700E" w:rsidRDefault="0036700E">
      <w:pPr>
        <w:pStyle w:val="ConsPlusTitle"/>
        <w:jc w:val="center"/>
      </w:pPr>
      <w:r>
        <w:t>"МОЛОДЕЖЬ МАГАДАНСКОЙ ОБЛАСТИ" НА 2014-2020 ГОДЫ"</w:t>
      </w:r>
    </w:p>
    <w:p w:rsidR="0036700E" w:rsidRDefault="0036700E">
      <w:pPr>
        <w:pStyle w:val="ConsPlusNormal"/>
        <w:jc w:val="center"/>
      </w:pPr>
      <w:r>
        <w:t>Список изменяющих документов</w:t>
      </w:r>
    </w:p>
    <w:p w:rsidR="0036700E" w:rsidRDefault="0036700E">
      <w:pPr>
        <w:pStyle w:val="ConsPlusNormal"/>
        <w:jc w:val="center"/>
      </w:pPr>
      <w:r>
        <w:t>(в ред. Постановлений Правительства Магаданской области</w:t>
      </w:r>
    </w:p>
    <w:p w:rsidR="0036700E" w:rsidRDefault="0036700E">
      <w:pPr>
        <w:pStyle w:val="ConsPlusNormal"/>
        <w:jc w:val="center"/>
      </w:pPr>
      <w:r>
        <w:t xml:space="preserve">от 30.04.2014 </w:t>
      </w:r>
      <w:hyperlink r:id="rId4" w:history="1">
        <w:r>
          <w:rPr>
            <w:color w:val="0000FF"/>
          </w:rPr>
          <w:t>N 363-пп</w:t>
        </w:r>
      </w:hyperlink>
      <w:r>
        <w:t>,</w:t>
      </w:r>
    </w:p>
    <w:p w:rsidR="0036700E" w:rsidRDefault="0036700E">
      <w:pPr>
        <w:pStyle w:val="ConsPlusNormal"/>
        <w:jc w:val="center"/>
      </w:pPr>
      <w:r>
        <w:t xml:space="preserve">от 27.11.2014 </w:t>
      </w:r>
      <w:hyperlink r:id="rId5" w:history="1">
        <w:r>
          <w:rPr>
            <w:color w:val="0000FF"/>
          </w:rPr>
          <w:t>N 984-пп</w:t>
        </w:r>
      </w:hyperlink>
      <w:r>
        <w:t>,</w:t>
      </w:r>
    </w:p>
    <w:p w:rsidR="0036700E" w:rsidRDefault="0036700E">
      <w:pPr>
        <w:pStyle w:val="ConsPlusNormal"/>
        <w:jc w:val="center"/>
      </w:pPr>
      <w:r>
        <w:t xml:space="preserve">от 17.04.2015 </w:t>
      </w:r>
      <w:hyperlink r:id="rId6" w:history="1">
        <w:r>
          <w:rPr>
            <w:color w:val="0000FF"/>
          </w:rPr>
          <w:t>N 246-пп</w:t>
        </w:r>
      </w:hyperlink>
      <w:r>
        <w:t>)</w:t>
      </w:r>
    </w:p>
    <w:p w:rsidR="0036700E" w:rsidRDefault="0036700E">
      <w:pPr>
        <w:pStyle w:val="ConsPlusNormal"/>
        <w:jc w:val="center"/>
      </w:pPr>
    </w:p>
    <w:p w:rsidR="0036700E" w:rsidRDefault="0036700E">
      <w:pPr>
        <w:pStyle w:val="ConsPlusNormal"/>
        <w:jc w:val="center"/>
      </w:pPr>
      <w:r>
        <w:t>ПАСПОРТ</w:t>
      </w:r>
    </w:p>
    <w:p w:rsidR="0036700E" w:rsidRDefault="0036700E">
      <w:pPr>
        <w:pStyle w:val="ConsPlusNormal"/>
        <w:jc w:val="center"/>
      </w:pPr>
      <w:r>
        <w:t>государственной программы Магаданской области</w:t>
      </w:r>
    </w:p>
    <w:p w:rsidR="0036700E" w:rsidRDefault="0036700E">
      <w:pPr>
        <w:pStyle w:val="ConsPlusNormal"/>
        <w:jc w:val="center"/>
      </w:pPr>
      <w:r>
        <w:t>"Молодежь Магаданской области" на 2014-2020 годы"</w:t>
      </w:r>
    </w:p>
    <w:p w:rsidR="0036700E" w:rsidRDefault="0036700E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380"/>
      </w:tblGrid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Наименование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государственная программа Магаданской области "Молодежь Магаданской области" на 2014-2020 годы" (далее - государственная программа)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Цель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создание условий для успешной социализации и эффективной самореализации молодежи, развития ее потенциала в интересах развития страны и Магаданской области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Задачи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- вовлечение молодежи в социальную практику и ее информирование о потенциальных возможностях саморазвития;</w:t>
            </w:r>
          </w:p>
          <w:p w:rsidR="0036700E" w:rsidRDefault="0036700E">
            <w:pPr>
              <w:pStyle w:val="ConsPlusNormal"/>
              <w:jc w:val="both"/>
            </w:pPr>
            <w:r>
              <w:t>- обеспечение поддержки научной и инновационной активности молодежи;</w:t>
            </w:r>
          </w:p>
          <w:p w:rsidR="0036700E" w:rsidRDefault="0036700E">
            <w:pPr>
              <w:pStyle w:val="ConsPlusNormal"/>
              <w:jc w:val="both"/>
            </w:pPr>
            <w:r>
              <w:t>- формирование системы поддержки молодежи, обладающей лидерскими навыками, инициативной и талантливой молодежи;</w:t>
            </w:r>
          </w:p>
          <w:p w:rsidR="0036700E" w:rsidRDefault="0036700E">
            <w:pPr>
              <w:pStyle w:val="ConsPlusNormal"/>
              <w:jc w:val="both"/>
            </w:pPr>
            <w:r>
              <w:t>- гражданское образование и патриотическое воспитание молодежи, содействие формированию правовых, культурных и нравственных ценностей у молодежи;</w:t>
            </w:r>
          </w:p>
          <w:p w:rsidR="0036700E" w:rsidRDefault="0036700E">
            <w:pPr>
              <w:pStyle w:val="ConsPlusNormal"/>
              <w:jc w:val="both"/>
            </w:pPr>
            <w:r>
              <w:t>- содействие формированию у молодых людей отношения к здоровью и семье как к важным жизненным ценностям, развитие эффективного функционирования системы профилактики асоциальных явлений;</w:t>
            </w:r>
          </w:p>
          <w:p w:rsidR="0036700E" w:rsidRDefault="0036700E">
            <w:pPr>
              <w:pStyle w:val="ConsPlusNormal"/>
              <w:jc w:val="both"/>
            </w:pPr>
            <w:r>
              <w:t>- создание условий для реализации молодыми людьми своих профессиональных способностей, содействие социальной адаптации и повышению конкурентоспособности молодежи на рынке труда;</w:t>
            </w:r>
          </w:p>
          <w:p w:rsidR="0036700E" w:rsidRDefault="0036700E">
            <w:pPr>
              <w:pStyle w:val="ConsPlusNormal"/>
              <w:jc w:val="both"/>
            </w:pPr>
            <w:r>
              <w:t>- государственная поддержка некоммерческих организаций, в том числе молодежных и детских общественных объединений, в сфере государственной молодежной политики;</w:t>
            </w:r>
          </w:p>
          <w:p w:rsidR="0036700E" w:rsidRDefault="0036700E">
            <w:pPr>
              <w:pStyle w:val="ConsPlusNormal"/>
              <w:jc w:val="both"/>
            </w:pPr>
            <w:r>
              <w:t>- содействие организации культурного досуга молодежи, разработка и популяризация новых форм коллективного досуга в молодежной среде;</w:t>
            </w:r>
          </w:p>
          <w:p w:rsidR="0036700E" w:rsidRDefault="0036700E">
            <w:pPr>
              <w:pStyle w:val="ConsPlusNormal"/>
              <w:jc w:val="both"/>
            </w:pPr>
            <w:r>
              <w:t>- поддержка и развитие инфраструктуры молодежной политики, кадровое, методическое и информационное обеспечение работы с молодежью на региональном и муниципальном уровнях;</w:t>
            </w:r>
          </w:p>
          <w:p w:rsidR="0036700E" w:rsidRDefault="0036700E">
            <w:pPr>
              <w:pStyle w:val="ConsPlusNormal"/>
              <w:jc w:val="both"/>
            </w:pPr>
            <w:r>
              <w:t>- обеспечение условий для реализации государственной программы</w:t>
            </w:r>
          </w:p>
        </w:tc>
      </w:tr>
      <w:tr w:rsidR="0036700E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36700E" w:rsidRDefault="0036700E">
            <w:pPr>
              <w:pStyle w:val="ConsPlusNormal"/>
              <w:jc w:val="center"/>
            </w:pPr>
            <w:r>
              <w:t xml:space="preserve">Ответственный исполнитель государственной </w:t>
            </w:r>
            <w:r>
              <w:lastRenderedPageBreak/>
              <w:t>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36700E" w:rsidRDefault="0036700E">
            <w:pPr>
              <w:pStyle w:val="ConsPlusNormal"/>
              <w:jc w:val="both"/>
            </w:pPr>
            <w:r>
              <w:lastRenderedPageBreak/>
              <w:t>министерство образования и молодежной политики Магаданской области</w:t>
            </w:r>
          </w:p>
        </w:tc>
      </w:tr>
      <w:tr w:rsidR="0036700E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36700E" w:rsidRDefault="003670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30.04.2014 N 363-пп)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Соисполнители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соисполнителей нет</w:t>
            </w:r>
          </w:p>
        </w:tc>
      </w:tr>
      <w:tr w:rsidR="0036700E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36700E" w:rsidRDefault="0036700E">
            <w:pPr>
              <w:pStyle w:val="ConsPlusNormal"/>
              <w:jc w:val="center"/>
            </w:pPr>
            <w:r>
              <w:t>Участники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36700E" w:rsidRDefault="0036700E">
            <w:pPr>
              <w:pStyle w:val="ConsPlusNormal"/>
              <w:jc w:val="both"/>
            </w:pPr>
            <w:r>
              <w:t>- областное государственное бюджетное учреждение "Молодежный центр";</w:t>
            </w:r>
          </w:p>
          <w:p w:rsidR="0036700E" w:rsidRDefault="0036700E">
            <w:pPr>
              <w:pStyle w:val="ConsPlusNormal"/>
              <w:jc w:val="both"/>
            </w:pPr>
            <w:r>
              <w:t>- Магаданское областное государственное автономное учреждение "Ресурсный центр поддержки молодежных инициатив";</w:t>
            </w:r>
          </w:p>
          <w:p w:rsidR="0036700E" w:rsidRDefault="0036700E">
            <w:pPr>
              <w:pStyle w:val="ConsPlusNormal"/>
              <w:jc w:val="both"/>
            </w:pPr>
            <w:r>
              <w:t>- органы местного самоуправления (по согласованию)</w:t>
            </w:r>
          </w:p>
        </w:tc>
      </w:tr>
      <w:tr w:rsidR="0036700E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36700E" w:rsidRDefault="0036700E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17.04.2015 N 246-пп)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Подпрограммы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1. "</w:t>
            </w:r>
            <w:hyperlink r:id="rId9" w:history="1">
              <w:r>
                <w:rPr>
                  <w:color w:val="0000FF"/>
                </w:rPr>
                <w:t>Гражданское</w:t>
              </w:r>
            </w:hyperlink>
            <w:r>
              <w:t xml:space="preserve"> и патриотическое воспитание молодежи" на 2014-2020 годы";</w:t>
            </w:r>
          </w:p>
          <w:p w:rsidR="0036700E" w:rsidRDefault="0036700E">
            <w:pPr>
              <w:pStyle w:val="ConsPlusNormal"/>
              <w:jc w:val="both"/>
            </w:pPr>
            <w:r>
              <w:t>2. "</w:t>
            </w:r>
            <w:hyperlink r:id="rId10" w:history="1">
              <w:r>
                <w:rPr>
                  <w:color w:val="0000FF"/>
                </w:rPr>
                <w:t>Вовлечение</w:t>
              </w:r>
            </w:hyperlink>
            <w:r>
              <w:t xml:space="preserve"> молодежи в социальную практику, поддержка талантливой молодежи" на 2014-2020 годы";</w:t>
            </w:r>
          </w:p>
          <w:p w:rsidR="0036700E" w:rsidRDefault="0036700E">
            <w:pPr>
              <w:pStyle w:val="ConsPlusNormal"/>
              <w:jc w:val="both"/>
            </w:pPr>
            <w:r>
              <w:t>3. "</w:t>
            </w:r>
            <w:hyperlink r:id="rId11" w:history="1">
              <w:r>
                <w:rPr>
                  <w:color w:val="0000FF"/>
                </w:rPr>
                <w:t>Формирование</w:t>
              </w:r>
            </w:hyperlink>
            <w:r>
              <w:t xml:space="preserve"> и развитие инфраструктуры молодежной политики" на 2014-2020 годы";</w:t>
            </w:r>
          </w:p>
          <w:p w:rsidR="0036700E" w:rsidRDefault="0036700E">
            <w:pPr>
              <w:pStyle w:val="ConsPlusNormal"/>
              <w:jc w:val="both"/>
            </w:pPr>
            <w:r>
              <w:t>4. "</w:t>
            </w:r>
            <w:hyperlink r:id="rId12" w:history="1">
              <w:r>
                <w:rPr>
                  <w:color w:val="0000FF"/>
                </w:rPr>
                <w:t>Создание</w:t>
              </w:r>
            </w:hyperlink>
            <w:r>
              <w:t xml:space="preserve"> условий для реализации государственной программы" на 2014-2020 годы"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Программно-целевые инструменты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Целевые показатели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- количество молодых граждан, вовлеченных в деятельность патриотических объединений и принимающих участие в мероприятиях патриотической направленности;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граждан, годных к военной службе, от общего количества граждан, прибывших на призывные комиссии;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мероприятий в рамках подпрограммы, направленных на организацию досуга молодежи;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проектов молодежных и детских общественных организаций, получивших поддержку за счет средств областного бюджета;</w:t>
            </w:r>
          </w:p>
          <w:p w:rsidR="0036700E" w:rsidRDefault="0036700E">
            <w:pPr>
              <w:pStyle w:val="ConsPlusNormal"/>
              <w:jc w:val="both"/>
            </w:pPr>
            <w:r>
              <w:t>- темп роста количества молодых людей, вовлеченных в деятельность общественных формирований различной направленности;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талантливых молодых людей, получивших поощрения в различных формах;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муниципальных образований, получивших субсидии из областного бюджета не реализацию муниципальных программ в сфере молодежной политики;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упоминаний о деятельности органов государственной власти Магаданской области по реализации молодежной политики в СМИ;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участников мероприятий по кадровой подготовке специалистов по работе с молодежью, лидеров молодежных организаций;</w:t>
            </w:r>
          </w:p>
          <w:p w:rsidR="0036700E" w:rsidRDefault="0036700E">
            <w:pPr>
              <w:pStyle w:val="ConsPlusNormal"/>
              <w:jc w:val="both"/>
            </w:pPr>
            <w:r>
              <w:t xml:space="preserve">- удельный вес количества молодежи от общего числа молодых людей, проживающих на территории Магаданской области, вовлеченных в </w:t>
            </w:r>
            <w:r>
              <w:lastRenderedPageBreak/>
              <w:t>мероприятия, направленных на формирование здорового образа жизни, к уровню 2013 года;</w:t>
            </w:r>
          </w:p>
          <w:p w:rsidR="0036700E" w:rsidRDefault="0036700E">
            <w:pPr>
              <w:pStyle w:val="ConsPlusNormal"/>
              <w:jc w:val="both"/>
            </w:pPr>
            <w:r>
              <w:t>- удельный вес количества молодежи по результатам социологических исследований, обозначающий семью как одну из важнейших жизненных ценностей;</w:t>
            </w:r>
          </w:p>
          <w:p w:rsidR="0036700E" w:rsidRDefault="0036700E">
            <w:pPr>
              <w:pStyle w:val="ConsPlusNormal"/>
              <w:jc w:val="both"/>
            </w:pPr>
            <w:r>
              <w:t>- темп роста количества молодых людей, принимающих участие в мероприятиях научной и инновационной направленности регионального уровня по сравнению с 2013 годом;</w:t>
            </w:r>
          </w:p>
          <w:p w:rsidR="0036700E" w:rsidRDefault="0036700E">
            <w:pPr>
              <w:pStyle w:val="ConsPlusNormal"/>
              <w:jc w:val="both"/>
            </w:pPr>
            <w:r>
              <w:t>- количество молодых людей-получателей услуг в рамках государственной программы в сфере профессиональной ориентации и содействия трудоустройству;</w:t>
            </w:r>
          </w:p>
          <w:p w:rsidR="0036700E" w:rsidRDefault="0036700E">
            <w:pPr>
              <w:pStyle w:val="ConsPlusNormal"/>
              <w:jc w:val="both"/>
            </w:pPr>
            <w:r>
              <w:t>- уровень выполнения значений целевых показателей государственной программы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2014-2020 годы.</w:t>
            </w:r>
          </w:p>
          <w:p w:rsidR="0036700E" w:rsidRDefault="0036700E">
            <w:pPr>
              <w:pStyle w:val="ConsPlusNormal"/>
              <w:jc w:val="both"/>
            </w:pPr>
            <w:r>
              <w:t>Этапы реализации государственной программы не выделяются</w:t>
            </w:r>
          </w:p>
        </w:tc>
      </w:tr>
      <w:tr w:rsidR="0036700E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36700E" w:rsidRDefault="0036700E">
            <w:pPr>
              <w:pStyle w:val="ConsPlusNormal"/>
              <w:jc w:val="center"/>
            </w:pPr>
            <w:r>
              <w:t>Ресурсное обеспечение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36700E" w:rsidRDefault="0036700E">
            <w:pPr>
              <w:pStyle w:val="ConsPlusNormal"/>
              <w:jc w:val="both"/>
            </w:pPr>
            <w:r>
              <w:t>Общий объем финансирования из областного бюджета - 283574,3 тыс. рублей, в том числе по годам:</w:t>
            </w:r>
          </w:p>
          <w:p w:rsidR="0036700E" w:rsidRDefault="0036700E">
            <w:pPr>
              <w:pStyle w:val="ConsPlusNormal"/>
              <w:jc w:val="both"/>
            </w:pPr>
            <w:r>
              <w:t>2014 год - 35441,6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2015 год - 35648,8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2016 год - 35614,0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2017 год - 43499,9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2018 год - 41926,1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2019 год - 45220,2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2020 год - 46223,7 тыс. рублей.</w:t>
            </w:r>
          </w:p>
          <w:p w:rsidR="0036700E" w:rsidRDefault="0036700E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"Гражданское и патриотическое воспитание молодежи", всего - 41109,5 тыс. рублей, в том числе:</w:t>
            </w:r>
          </w:p>
          <w:p w:rsidR="0036700E" w:rsidRDefault="0036700E">
            <w:pPr>
              <w:pStyle w:val="ConsPlusNormal"/>
              <w:jc w:val="both"/>
            </w:pPr>
            <w:r>
              <w:t>2014 год - 4795,0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2015 год - 5225,1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2016 год - 5755,1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2017 год - 5755,1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2018 год - 6210,7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2019 год - 6521,2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2020 год - 6847,3 тыс. рублей.</w:t>
            </w:r>
          </w:p>
          <w:p w:rsidR="0036700E" w:rsidRDefault="0036700E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"Вовлечение молодежи в социальную практику, поддержка талантливой молодежи", всего - 97613,0 тыс. рублей, в том числе:</w:t>
            </w:r>
          </w:p>
          <w:p w:rsidR="0036700E" w:rsidRDefault="0036700E">
            <w:pPr>
              <w:pStyle w:val="ConsPlusNormal"/>
              <w:jc w:val="both"/>
            </w:pPr>
            <w:r>
              <w:t>2014 год - 11800,0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2015 год - 13526,3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2016 год - 13009,1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2017 год - 13009,1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2018 год - 14296,8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2019 год - 16209,5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2020 год - 15762,2 тыс. рублей.</w:t>
            </w:r>
          </w:p>
          <w:p w:rsidR="0036700E" w:rsidRDefault="0036700E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и развитие инфраструктуры молодежной политики", всего - 27617,2 тыс. рублей, в том числе:</w:t>
            </w:r>
          </w:p>
          <w:p w:rsidR="0036700E" w:rsidRDefault="0036700E">
            <w:pPr>
              <w:pStyle w:val="ConsPlusNormal"/>
              <w:jc w:val="both"/>
            </w:pPr>
            <w:r>
              <w:t>2014 год - 3415,0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2015 год - 3585,8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2016 год - 3765,0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2017 год - 3765,0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lastRenderedPageBreak/>
              <w:t>2018 год - 4151,1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2019 год - 4358,6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2020 год - 4576,7 тыс. рублей.</w:t>
            </w:r>
          </w:p>
          <w:p w:rsidR="0036700E" w:rsidRDefault="0036700E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программы", всего - 117234,6 тыс. рублей, в том числе:</w:t>
            </w:r>
          </w:p>
          <w:p w:rsidR="0036700E" w:rsidRDefault="0036700E">
            <w:pPr>
              <w:pStyle w:val="ConsPlusNormal"/>
              <w:jc w:val="both"/>
            </w:pPr>
            <w:r>
              <w:t>2014 год - 15431,6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2015 год - 13311,6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2016 год - 13084,8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2017 год - 20970,7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2018 год - 17267,5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2019 год - 18130,9 тыс. рублей;</w:t>
            </w:r>
          </w:p>
          <w:p w:rsidR="0036700E" w:rsidRDefault="0036700E">
            <w:pPr>
              <w:pStyle w:val="ConsPlusNormal"/>
              <w:jc w:val="both"/>
            </w:pPr>
            <w:r>
              <w:t>2020 год - 19037,5 тыс. рублей</w:t>
            </w:r>
          </w:p>
        </w:tc>
      </w:tr>
      <w:tr w:rsidR="0036700E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36700E" w:rsidRDefault="003670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17.04.2015 N 246-пп)</w:t>
            </w:r>
          </w:p>
        </w:tc>
      </w:tr>
      <w:tr w:rsidR="0036700E">
        <w:tc>
          <w:tcPr>
            <w:tcW w:w="2400" w:type="dxa"/>
          </w:tcPr>
          <w:p w:rsidR="0036700E" w:rsidRDefault="0036700E">
            <w:pPr>
              <w:pStyle w:val="ConsPlusNormal"/>
              <w:jc w:val="center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7380" w:type="dxa"/>
          </w:tcPr>
          <w:p w:rsidR="0036700E" w:rsidRDefault="0036700E">
            <w:pPr>
              <w:pStyle w:val="ConsPlusNormal"/>
              <w:jc w:val="both"/>
            </w:pPr>
            <w:r>
              <w:t>- увеличение количества молодых людей, вовлеченных в научную и изобретательскую деятельность, повышение престижности научной и инновационной работы среди молодежи;</w:t>
            </w:r>
          </w:p>
          <w:p w:rsidR="0036700E" w:rsidRDefault="0036700E">
            <w:pPr>
              <w:pStyle w:val="ConsPlusNormal"/>
              <w:jc w:val="both"/>
            </w:pPr>
            <w:r>
              <w:t>- увеличение количества молодых людей, занимающихся различными видами творчества;</w:t>
            </w:r>
          </w:p>
          <w:p w:rsidR="0036700E" w:rsidRDefault="0036700E">
            <w:pPr>
              <w:pStyle w:val="ConsPlusNormal"/>
              <w:jc w:val="both"/>
            </w:pPr>
            <w:r>
              <w:t>- увеличение количества молодых людей, принимающих участие в различных формах в деятельности молодежных и детских общественных организаций, органах молодежного самоуправления, волонтерском движении, а также вовлеченных в различные практики социально значимой деятельности;</w:t>
            </w:r>
          </w:p>
          <w:p w:rsidR="0036700E" w:rsidRDefault="0036700E">
            <w:pPr>
              <w:pStyle w:val="ConsPlusNormal"/>
              <w:jc w:val="both"/>
            </w:pPr>
            <w:r>
              <w:t>- снижение количества граждан, не соответствующих по состоянию здоровья и уровню физического развития требованиям военной службы;</w:t>
            </w:r>
          </w:p>
          <w:p w:rsidR="0036700E" w:rsidRDefault="0036700E">
            <w:pPr>
              <w:pStyle w:val="ConsPlusNormal"/>
              <w:jc w:val="both"/>
            </w:pPr>
            <w:r>
              <w:t>- увеличение показателя годности к военной службе граждан, прибывших на призывные комиссии;</w:t>
            </w:r>
          </w:p>
          <w:p w:rsidR="0036700E" w:rsidRDefault="0036700E">
            <w:pPr>
              <w:pStyle w:val="ConsPlusNormal"/>
              <w:jc w:val="both"/>
            </w:pPr>
            <w:r>
              <w:t>- содействие организации культурного досуга молодежи, разработка и популяризация новых форм коллективного досуга в молодежной среде;</w:t>
            </w:r>
          </w:p>
          <w:p w:rsidR="0036700E" w:rsidRDefault="0036700E">
            <w:pPr>
              <w:pStyle w:val="ConsPlusNormal"/>
              <w:jc w:val="both"/>
            </w:pPr>
            <w:r>
              <w:t>- формирование устойчивой ценностной ориентации у молодежи на ведение здорового образа жизни;</w:t>
            </w:r>
          </w:p>
          <w:p w:rsidR="0036700E" w:rsidRDefault="0036700E">
            <w:pPr>
              <w:pStyle w:val="ConsPlusNormal"/>
              <w:jc w:val="both"/>
            </w:pPr>
            <w:r>
              <w:t>- повышение престижа и ценностей семейного образа жизни и рождения детей у молодых граждан;</w:t>
            </w:r>
          </w:p>
          <w:p w:rsidR="0036700E" w:rsidRDefault="0036700E">
            <w:pPr>
              <w:pStyle w:val="ConsPlusNormal"/>
              <w:jc w:val="both"/>
            </w:pPr>
            <w:r>
              <w:t>- повышение уровня профессиональной ориентации молодежи, увеличение количества молодых людей, трудоустраивающихся по полученной специальности;</w:t>
            </w:r>
          </w:p>
          <w:p w:rsidR="0036700E" w:rsidRDefault="0036700E">
            <w:pPr>
              <w:pStyle w:val="ConsPlusNormal"/>
              <w:jc w:val="both"/>
            </w:pPr>
            <w:r>
              <w:t>- увеличение количества молодых граждан, вовлеченных в общественные формирования и мероприятиях патриотической направленности;</w:t>
            </w:r>
          </w:p>
          <w:p w:rsidR="0036700E" w:rsidRDefault="0036700E">
            <w:pPr>
              <w:pStyle w:val="ConsPlusNormal"/>
              <w:jc w:val="both"/>
            </w:pPr>
            <w:r>
              <w:t>- повышение уровня профессиональной компетентности специалистов по работе с молодежью муниципальных образований Магаданской области, лидеров молодежных и детских общественных формирований;</w:t>
            </w:r>
          </w:p>
          <w:p w:rsidR="0036700E" w:rsidRDefault="0036700E">
            <w:pPr>
              <w:pStyle w:val="ConsPlusNormal"/>
              <w:jc w:val="both"/>
            </w:pPr>
            <w:r>
              <w:t>- обеспечение условий для эффективной реализации государственной молодежной политики в Магаданской области;</w:t>
            </w:r>
          </w:p>
          <w:p w:rsidR="0036700E" w:rsidRDefault="0036700E">
            <w:pPr>
              <w:pStyle w:val="ConsPlusNormal"/>
              <w:jc w:val="both"/>
            </w:pPr>
            <w:r>
              <w:t>- полное и своевременное выполнение мероприятий государственной программы, достижение запланированных целевых показателей государственной программы</w:t>
            </w:r>
          </w:p>
        </w:tc>
      </w:tr>
    </w:tbl>
    <w:p w:rsidR="0036700E" w:rsidRDefault="0036700E">
      <w:pPr>
        <w:pStyle w:val="ConsPlusNormal"/>
      </w:pPr>
      <w:hyperlink r:id="rId18" w:history="1">
        <w:r>
          <w:rPr>
            <w:i/>
            <w:color w:val="0000FF"/>
          </w:rPr>
          <w:br/>
          <w:t>Постановление администрации Магаданской области от 14.11.2013 N 1123-па (ред. от 16.07.2015) "Об утверждении государственной программы Магаданской области "Молодежь Магаданской области" на 2014-2020 годы"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r>
          <w:rPr>
            <w:i/>
            <w:color w:val="0000FF"/>
          </w:rPr>
          <w:br/>
        </w:r>
      </w:hyperlink>
    </w:p>
    <w:sectPr w:rsidR="0036700E" w:rsidSect="0036700E">
      <w:pgSz w:w="11905" w:h="16838"/>
      <w:pgMar w:top="1134" w:right="848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7"/>
    <w:rsid w:val="00210377"/>
    <w:rsid w:val="00350105"/>
    <w:rsid w:val="0036700E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B9FCC-14F9-4675-A7C3-A2191C35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">
    <w:name w:val="ConsPlusTitle"/>
    <w:rsid w:val="00367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C11A8C9564A4AD5362E3BCACC63DAA2683863877E6341D7C80639857EA631D17F8g3q0G" TargetMode="External"/><Relationship Id="rId13" Type="http://schemas.openxmlformats.org/officeDocument/2006/relationships/hyperlink" Target="consultantplus://offline/ref=B67DE09DB20FBA2A862EC11A8C9564A4AD5362E3BCADC331A82683863877E6341D7C80639857EA631D14FFg3q7G" TargetMode="External"/><Relationship Id="rId18" Type="http://schemas.openxmlformats.org/officeDocument/2006/relationships/hyperlink" Target="consultantplus://offline/ref=B67DE09DB20FBA2A862EC11A8C9564A4AD5362E3BCADC331A82683863877E6341D7C80639857EA631D17F837CCE002g0q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7DE09DB20FBA2A862EC11A8C9564A4AD5362E3BCA9C639A92683863877E6341D7C80639857EA631D17F9g3q6G" TargetMode="External"/><Relationship Id="rId12" Type="http://schemas.openxmlformats.org/officeDocument/2006/relationships/hyperlink" Target="consultantplus://offline/ref=B67DE09DB20FBA2A862EC11A8C9564A4AD5362E3BCADC331A82683863877E6341D7C80639857EA631D11F1g3qFG" TargetMode="External"/><Relationship Id="rId17" Type="http://schemas.openxmlformats.org/officeDocument/2006/relationships/hyperlink" Target="consultantplus://offline/ref=B67DE09DB20FBA2A862EC11A8C9564A4AD5362E3BCACC63DAA2683863877E6341D7C80639857EA631D17F9g3q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7DE09DB20FBA2A862EC11A8C9564A4AD5362E3BCADC331A82683863877E6341D7C80639857EA631D11F1g3qF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DE09DB20FBA2A862EC11A8C9564A4AD5362E3BCACC63DAA2683863877E6341D7C80639857EA631D17F8g3q1G" TargetMode="External"/><Relationship Id="rId11" Type="http://schemas.openxmlformats.org/officeDocument/2006/relationships/hyperlink" Target="consultantplus://offline/ref=B67DE09DB20FBA2A862EC11A8C9564A4AD5362E3BCADC331A82683863877E6341D7C80639857EA631D12F1g3q7G" TargetMode="External"/><Relationship Id="rId5" Type="http://schemas.openxmlformats.org/officeDocument/2006/relationships/hyperlink" Target="consultantplus://offline/ref=B67DE09DB20FBA2A862EC11A8C9564A4AD5362E3BCABC339AA2683863877E6341D7C80639857EA631D17F8g3q1G" TargetMode="External"/><Relationship Id="rId15" Type="http://schemas.openxmlformats.org/officeDocument/2006/relationships/hyperlink" Target="consultantplus://offline/ref=B67DE09DB20FBA2A862EC11A8C9564A4AD5362E3BCADC331A82683863877E6341D7C80639857EA631D12F1g3q7G" TargetMode="External"/><Relationship Id="rId10" Type="http://schemas.openxmlformats.org/officeDocument/2006/relationships/hyperlink" Target="consultantplus://offline/ref=B67DE09DB20FBA2A862EC11A8C9564A4AD5362E3BCADC331A82683863877E6341D7C80639857EA631D13F0g3q7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67DE09DB20FBA2A862EC11A8C9564A4AD5362E3BCA9C639A92683863877E6341D7C80639857EA631D17F8g3qEG" TargetMode="External"/><Relationship Id="rId9" Type="http://schemas.openxmlformats.org/officeDocument/2006/relationships/hyperlink" Target="consultantplus://offline/ref=B67DE09DB20FBA2A862EC11A8C9564A4AD5362E3BCADC331A82683863877E6341D7C80639857EA631D14FFg3q7G" TargetMode="External"/><Relationship Id="rId14" Type="http://schemas.openxmlformats.org/officeDocument/2006/relationships/hyperlink" Target="consultantplus://offline/ref=B67DE09DB20FBA2A862EC11A8C9564A4AD5362E3BCADC331A82683863877E6341D7C80639857EA631D13F0g3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2014-10-22T22:09:00Z</dcterms:created>
  <dcterms:modified xsi:type="dcterms:W3CDTF">2015-10-30T06:42:00Z</dcterms:modified>
</cp:coreProperties>
</file>