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C7" w:rsidRDefault="00CD30C7">
      <w:pPr>
        <w:pStyle w:val="ConsPlusNormal"/>
        <w:ind w:firstLine="540"/>
        <w:jc w:val="both"/>
      </w:pPr>
    </w:p>
    <w:p w:rsidR="00CD30C7" w:rsidRDefault="00CD30C7">
      <w:pPr>
        <w:pStyle w:val="ConsPlusNormal"/>
        <w:jc w:val="right"/>
      </w:pPr>
      <w:r>
        <w:t>Утверждена</w:t>
      </w:r>
    </w:p>
    <w:p w:rsidR="00CD30C7" w:rsidRDefault="00CD30C7">
      <w:pPr>
        <w:pStyle w:val="ConsPlusNormal"/>
        <w:jc w:val="right"/>
      </w:pPr>
      <w:r>
        <w:t>постановлением</w:t>
      </w:r>
    </w:p>
    <w:p w:rsidR="00CD30C7" w:rsidRDefault="00CD30C7">
      <w:pPr>
        <w:pStyle w:val="ConsPlusNormal"/>
        <w:jc w:val="right"/>
      </w:pPr>
      <w:r>
        <w:t>администрации Магаданской области</w:t>
      </w:r>
    </w:p>
    <w:p w:rsidR="00CD30C7" w:rsidRDefault="00CD30C7">
      <w:pPr>
        <w:pStyle w:val="ConsPlusNormal"/>
        <w:jc w:val="right"/>
      </w:pPr>
      <w:r>
        <w:t>от 28 ноября 2013 г. N 1179-па</w:t>
      </w:r>
    </w:p>
    <w:p w:rsidR="00CD30C7" w:rsidRDefault="00CD30C7">
      <w:pPr>
        <w:pStyle w:val="ConsPlusNormal"/>
        <w:jc w:val="center"/>
      </w:pPr>
    </w:p>
    <w:p w:rsidR="00CD30C7" w:rsidRDefault="00CD30C7">
      <w:pPr>
        <w:pStyle w:val="ConsPlusTitle"/>
        <w:jc w:val="center"/>
      </w:pPr>
      <w:r>
        <w:t>ГОСУДАРСТВЕННАЯ ПРОГРАММА МАГАДАНСКОЙ ОБЛАСТИ</w:t>
      </w:r>
    </w:p>
    <w:p w:rsidR="00CD30C7" w:rsidRDefault="00CD30C7">
      <w:pPr>
        <w:pStyle w:val="ConsPlusTitle"/>
        <w:jc w:val="center"/>
      </w:pPr>
      <w:r>
        <w:t>"РАЗВИТИЕ ОБРАЗОВАНИЯ В МАГАДАНСКОЙ ОБЛАСТИ"</w:t>
      </w:r>
    </w:p>
    <w:p w:rsidR="00CD30C7" w:rsidRDefault="00CD30C7">
      <w:pPr>
        <w:pStyle w:val="ConsPlusTitle"/>
        <w:jc w:val="center"/>
      </w:pPr>
      <w:r>
        <w:t>НА 2014-2020 ГОДЫ"</w:t>
      </w:r>
    </w:p>
    <w:p w:rsidR="00CD30C7" w:rsidRDefault="00CD30C7">
      <w:pPr>
        <w:pStyle w:val="ConsPlusNormal"/>
        <w:jc w:val="center"/>
      </w:pPr>
      <w:r>
        <w:t>Список изменяющих документов</w:t>
      </w:r>
    </w:p>
    <w:p w:rsidR="00CD30C7" w:rsidRDefault="00CD30C7">
      <w:pPr>
        <w:pStyle w:val="ConsPlusNormal"/>
        <w:jc w:val="center"/>
      </w:pPr>
      <w:r>
        <w:t>(в ред. Постановлений Правительства Магаданской области</w:t>
      </w:r>
    </w:p>
    <w:p w:rsidR="00CD30C7" w:rsidRDefault="00CD30C7">
      <w:pPr>
        <w:pStyle w:val="ConsPlusNormal"/>
        <w:jc w:val="center"/>
      </w:pPr>
      <w:r>
        <w:t xml:space="preserve">от 30.04.2014 </w:t>
      </w:r>
      <w:hyperlink r:id="rId4" w:history="1">
        <w:r>
          <w:rPr>
            <w:color w:val="0000FF"/>
          </w:rPr>
          <w:t>N 375-пп</w:t>
        </w:r>
      </w:hyperlink>
      <w:r>
        <w:t xml:space="preserve">, от 11.06.2014 </w:t>
      </w:r>
      <w:hyperlink r:id="rId5" w:history="1">
        <w:r>
          <w:rPr>
            <w:color w:val="0000FF"/>
          </w:rPr>
          <w:t>N 499-пп</w:t>
        </w:r>
      </w:hyperlink>
      <w:r>
        <w:t>,</w:t>
      </w:r>
    </w:p>
    <w:p w:rsidR="00CD30C7" w:rsidRDefault="00CD30C7">
      <w:pPr>
        <w:pStyle w:val="ConsPlusNormal"/>
        <w:jc w:val="center"/>
      </w:pPr>
      <w:r>
        <w:t xml:space="preserve">от 03.07.2014 </w:t>
      </w:r>
      <w:hyperlink r:id="rId6" w:history="1">
        <w:r>
          <w:rPr>
            <w:color w:val="0000FF"/>
          </w:rPr>
          <w:t>N 566-пп</w:t>
        </w:r>
      </w:hyperlink>
      <w:r>
        <w:t xml:space="preserve">, от 21.08.2014 </w:t>
      </w:r>
      <w:hyperlink r:id="rId7" w:history="1">
        <w:r>
          <w:rPr>
            <w:color w:val="0000FF"/>
          </w:rPr>
          <w:t>N 687-пп</w:t>
        </w:r>
      </w:hyperlink>
      <w:r>
        <w:t>,</w:t>
      </w:r>
    </w:p>
    <w:p w:rsidR="00CD30C7" w:rsidRDefault="00CD30C7">
      <w:pPr>
        <w:pStyle w:val="ConsPlusNormal"/>
        <w:jc w:val="center"/>
      </w:pPr>
      <w:r>
        <w:t xml:space="preserve">от 06.11.2014 </w:t>
      </w:r>
      <w:hyperlink r:id="rId8" w:history="1">
        <w:r>
          <w:rPr>
            <w:color w:val="0000FF"/>
          </w:rPr>
          <w:t>N 934-пп</w:t>
        </w:r>
      </w:hyperlink>
      <w:r>
        <w:t xml:space="preserve">, от 30.12.2014 </w:t>
      </w:r>
      <w:hyperlink r:id="rId9" w:history="1">
        <w:r>
          <w:rPr>
            <w:color w:val="0000FF"/>
          </w:rPr>
          <w:t>N 1150-пп</w:t>
        </w:r>
      </w:hyperlink>
      <w:r>
        <w:t>,</w:t>
      </w:r>
    </w:p>
    <w:p w:rsidR="00CD30C7" w:rsidRDefault="00CD30C7">
      <w:pPr>
        <w:pStyle w:val="ConsPlusNormal"/>
        <w:jc w:val="center"/>
      </w:pPr>
      <w:r>
        <w:t xml:space="preserve">от 24.06.2015 </w:t>
      </w:r>
      <w:hyperlink r:id="rId10" w:history="1">
        <w:r>
          <w:rPr>
            <w:color w:val="0000FF"/>
          </w:rPr>
          <w:t>N 405-пп</w:t>
        </w:r>
      </w:hyperlink>
      <w:r>
        <w:t>)</w:t>
      </w:r>
    </w:p>
    <w:p w:rsidR="00CD30C7" w:rsidRDefault="00CD30C7">
      <w:pPr>
        <w:pStyle w:val="ConsPlusNormal"/>
        <w:jc w:val="center"/>
      </w:pPr>
    </w:p>
    <w:p w:rsidR="00CD30C7" w:rsidRDefault="00CD30C7">
      <w:pPr>
        <w:pStyle w:val="ConsPlusNormal"/>
        <w:jc w:val="center"/>
      </w:pPr>
      <w:r>
        <w:t>ПАСПОРТ</w:t>
      </w:r>
    </w:p>
    <w:p w:rsidR="00CD30C7" w:rsidRDefault="00CD30C7">
      <w:pPr>
        <w:pStyle w:val="ConsPlusNormal"/>
        <w:jc w:val="center"/>
      </w:pPr>
      <w:r>
        <w:t>государственной программы Магаданской области</w:t>
      </w:r>
    </w:p>
    <w:p w:rsidR="00CD30C7" w:rsidRDefault="00CD30C7">
      <w:pPr>
        <w:pStyle w:val="ConsPlusNormal"/>
        <w:jc w:val="center"/>
      </w:pPr>
      <w:r>
        <w:t>"Развитие образования в Магаданской области"</w:t>
      </w:r>
    </w:p>
    <w:p w:rsidR="00CD30C7" w:rsidRDefault="00CD30C7">
      <w:pPr>
        <w:pStyle w:val="ConsPlusNormal"/>
        <w:jc w:val="center"/>
      </w:pPr>
      <w:r>
        <w:t>на 2014-2020 годы"</w:t>
      </w:r>
    </w:p>
    <w:p w:rsidR="00CD30C7" w:rsidRDefault="00CD30C7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440"/>
      </w:tblGrid>
      <w:tr w:rsidR="00CD30C7">
        <w:tc>
          <w:tcPr>
            <w:tcW w:w="2340" w:type="dxa"/>
          </w:tcPr>
          <w:p w:rsidR="00CD30C7" w:rsidRDefault="00CD30C7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7440" w:type="dxa"/>
          </w:tcPr>
          <w:p w:rsidR="00CD30C7" w:rsidRDefault="00CD30C7">
            <w:pPr>
              <w:pStyle w:val="ConsPlusNormal"/>
              <w:jc w:val="both"/>
            </w:pPr>
            <w:r>
              <w:t>государственная программа "Развитие образования в Магаданской области" на 2014-2020 годы" (далее - государственная программа)</w:t>
            </w:r>
          </w:p>
        </w:tc>
      </w:tr>
      <w:tr w:rsidR="00CD30C7">
        <w:tc>
          <w:tcPr>
            <w:tcW w:w="2340" w:type="dxa"/>
          </w:tcPr>
          <w:p w:rsidR="00CD30C7" w:rsidRDefault="00CD30C7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7440" w:type="dxa"/>
          </w:tcPr>
          <w:p w:rsidR="00CD30C7" w:rsidRDefault="00CD30C7">
            <w:pPr>
              <w:pStyle w:val="ConsPlusNormal"/>
              <w:jc w:val="both"/>
            </w:pPr>
            <w:r>
              <w:t>обеспечение качества, доступности и эффективности образования на территории Магаданской области на основе его фундаментальности и соответствия актуальным и перспективным потребностям личности, обществ и государства</w:t>
            </w:r>
          </w:p>
        </w:tc>
      </w:tr>
      <w:tr w:rsidR="00CD30C7">
        <w:tc>
          <w:tcPr>
            <w:tcW w:w="2340" w:type="dxa"/>
          </w:tcPr>
          <w:p w:rsidR="00CD30C7" w:rsidRDefault="00CD30C7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7440" w:type="dxa"/>
          </w:tcPr>
          <w:p w:rsidR="00CD30C7" w:rsidRDefault="00CD30C7">
            <w:pPr>
              <w:pStyle w:val="ConsPlusNormal"/>
              <w:jc w:val="both"/>
            </w:pPr>
            <w:r>
              <w:t>- 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Магаданской области;</w:t>
            </w:r>
          </w:p>
          <w:p w:rsidR="00CD30C7" w:rsidRDefault="00CD30C7">
            <w:pPr>
              <w:pStyle w:val="ConsPlusNormal"/>
              <w:jc w:val="both"/>
            </w:pPr>
            <w:r>
              <w:t>- 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и профессионального образования;</w:t>
            </w:r>
          </w:p>
          <w:p w:rsidR="00CD30C7" w:rsidRDefault="00CD30C7">
            <w:pPr>
              <w:pStyle w:val="ConsPlusNormal"/>
              <w:jc w:val="both"/>
            </w:pPr>
            <w:r>
              <w:t>- модернизация образовательных программ в системах дошкольного, общего, дополнительного и профессионального образования, направленная на достижение современного качества учебных результатов и результатов социализации;</w:t>
            </w:r>
          </w:p>
          <w:p w:rsidR="00CD30C7" w:rsidRDefault="00CD30C7">
            <w:pPr>
              <w:pStyle w:val="ConsPlusNormal"/>
              <w:jc w:val="both"/>
            </w:pPr>
            <w:r>
              <w:t>-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CD30C7" w:rsidRDefault="00CD30C7">
            <w:pPr>
              <w:pStyle w:val="ConsPlusNormal"/>
              <w:jc w:val="both"/>
            </w:pPr>
            <w:r>
              <w:t>- формирование устойчивой кадровой политики в сфере образования, способствующей инновационному развитию региональной системы образования;</w:t>
            </w:r>
          </w:p>
          <w:p w:rsidR="00CD30C7" w:rsidRDefault="00CD30C7">
            <w:pPr>
              <w:pStyle w:val="ConsPlusNormal"/>
              <w:jc w:val="both"/>
            </w:pPr>
            <w:r>
              <w:t>- развитие системы профессиональной ориентации молодежи и незанятого населения;</w:t>
            </w:r>
          </w:p>
          <w:p w:rsidR="00CD30C7" w:rsidRDefault="00CD30C7">
            <w:pPr>
              <w:pStyle w:val="ConsPlusNormal"/>
              <w:jc w:val="both"/>
            </w:pPr>
            <w:r>
              <w:t>- развитие системы поддержки молодых специалистов с целью закрепления профессиональных кадров на производстве и в социальной сфере;</w:t>
            </w:r>
          </w:p>
          <w:p w:rsidR="00CD30C7" w:rsidRDefault="00CD30C7">
            <w:pPr>
              <w:pStyle w:val="ConsPlusNormal"/>
              <w:jc w:val="both"/>
            </w:pPr>
            <w:r>
              <w:t xml:space="preserve">- развитие системы загородных оздоровительных и санаторных </w:t>
            </w:r>
            <w:r>
              <w:lastRenderedPageBreak/>
              <w:t>организаций Магаданской области; обеспечение благоустроенными жилыми помещениями детей-сирот, детей, оставшихся без попечения родителей, а также лиц из числа детей-сирот, детей, оставшихся без попечения родителей;</w:t>
            </w:r>
          </w:p>
          <w:p w:rsidR="00CD30C7" w:rsidRDefault="00CD30C7">
            <w:pPr>
              <w:pStyle w:val="ConsPlusNormal"/>
              <w:jc w:val="both"/>
            </w:pPr>
            <w:r>
              <w:t>- оказание государственных услуг в рамках реализации государственной программы</w:t>
            </w:r>
          </w:p>
        </w:tc>
      </w:tr>
      <w:tr w:rsidR="00CD30C7">
        <w:tc>
          <w:tcPr>
            <w:tcW w:w="2340" w:type="dxa"/>
          </w:tcPr>
          <w:p w:rsidR="00CD30C7" w:rsidRDefault="00CD30C7">
            <w:pPr>
              <w:pStyle w:val="ConsPlusNormal"/>
              <w:jc w:val="both"/>
            </w:pPr>
            <w: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440" w:type="dxa"/>
          </w:tcPr>
          <w:p w:rsidR="00CD30C7" w:rsidRDefault="00CD30C7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</w:tr>
      <w:tr w:rsidR="00CD30C7">
        <w:tc>
          <w:tcPr>
            <w:tcW w:w="2340" w:type="dxa"/>
          </w:tcPr>
          <w:p w:rsidR="00CD30C7" w:rsidRDefault="00CD30C7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7440" w:type="dxa"/>
          </w:tcPr>
          <w:p w:rsidR="00CD30C7" w:rsidRDefault="00CD30C7">
            <w:pPr>
              <w:pStyle w:val="ConsPlusNormal"/>
              <w:jc w:val="both"/>
            </w:pPr>
            <w:r>
              <w:t>нет</w:t>
            </w:r>
          </w:p>
        </w:tc>
      </w:tr>
      <w:tr w:rsidR="00CD30C7">
        <w:tblPrEx>
          <w:tblBorders>
            <w:insideH w:val="nil"/>
          </w:tblBorders>
        </w:tblPrEx>
        <w:tc>
          <w:tcPr>
            <w:tcW w:w="2340" w:type="dxa"/>
            <w:tcBorders>
              <w:bottom w:val="nil"/>
            </w:tcBorders>
          </w:tcPr>
          <w:p w:rsidR="00CD30C7" w:rsidRDefault="00CD30C7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7440" w:type="dxa"/>
            <w:tcBorders>
              <w:bottom w:val="nil"/>
            </w:tcBorders>
          </w:tcPr>
          <w:p w:rsidR="00CD30C7" w:rsidRDefault="00CD30C7">
            <w:pPr>
              <w:pStyle w:val="ConsPlusNormal"/>
              <w:jc w:val="both"/>
            </w:pPr>
            <w:r>
              <w:t>- министерство здравоохранения и демографической политики Магаданской области;</w:t>
            </w:r>
          </w:p>
          <w:p w:rsidR="00CD30C7" w:rsidRDefault="00CD30C7">
            <w:pPr>
              <w:pStyle w:val="ConsPlusNormal"/>
              <w:jc w:val="both"/>
            </w:pPr>
            <w:r>
              <w:t>- министерство труда и социальной политики Магаданской области;</w:t>
            </w:r>
          </w:p>
          <w:p w:rsidR="00CD30C7" w:rsidRDefault="00CD30C7">
            <w:pPr>
              <w:pStyle w:val="ConsPlusNormal"/>
              <w:jc w:val="both"/>
            </w:pPr>
            <w:r>
              <w:t>- министерство строительства, жилищно-коммунального хозяйства и энергетики Магаданской области;</w:t>
            </w:r>
          </w:p>
          <w:p w:rsidR="00CD30C7" w:rsidRDefault="00CD30C7">
            <w:pPr>
              <w:pStyle w:val="ConsPlusNormal"/>
              <w:jc w:val="both"/>
            </w:pPr>
            <w:r>
              <w:t>- министерство культуры, спорта и туризма Магаданской области;</w:t>
            </w:r>
          </w:p>
          <w:p w:rsidR="00CD30C7" w:rsidRDefault="00CD30C7">
            <w:pPr>
              <w:pStyle w:val="ConsPlusNormal"/>
              <w:jc w:val="both"/>
            </w:pPr>
            <w:r>
              <w:t>- министерство культуры и туризма Магаданской области;</w:t>
            </w:r>
          </w:p>
          <w:p w:rsidR="00CD30C7" w:rsidRDefault="00CD30C7">
            <w:pPr>
              <w:pStyle w:val="ConsPlusNormal"/>
              <w:jc w:val="both"/>
            </w:pPr>
            <w:r>
              <w:t>- департамент физической культуры и спорта Магаданской области;</w:t>
            </w:r>
          </w:p>
          <w:p w:rsidR="00CD30C7" w:rsidRDefault="00CD30C7">
            <w:pPr>
              <w:pStyle w:val="ConsPlusNormal"/>
              <w:jc w:val="both"/>
            </w:pPr>
            <w:r>
              <w:t>- органы местного самоуправления муниципальных образований Магаданской области (по согласованию);</w:t>
            </w:r>
          </w:p>
          <w:p w:rsidR="00CD30C7" w:rsidRDefault="00CD30C7">
            <w:pPr>
              <w:pStyle w:val="ConsPlusNormal"/>
              <w:jc w:val="both"/>
            </w:pPr>
            <w:r>
              <w:t>- государственные организации, подведомственные министерству образования и молодежной политики Магаданской области;</w:t>
            </w:r>
          </w:p>
          <w:p w:rsidR="00CD30C7" w:rsidRDefault="00CD30C7">
            <w:pPr>
              <w:pStyle w:val="ConsPlusNormal"/>
              <w:jc w:val="both"/>
            </w:pPr>
            <w:r>
              <w:t>- общественные, научные и иные организации</w:t>
            </w:r>
          </w:p>
        </w:tc>
      </w:tr>
      <w:tr w:rsidR="00CD30C7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CD30C7" w:rsidRDefault="00CD30C7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24.06.2015 N 405-пп)</w:t>
            </w:r>
          </w:p>
        </w:tc>
      </w:tr>
      <w:tr w:rsidR="00CD30C7">
        <w:tc>
          <w:tcPr>
            <w:tcW w:w="2340" w:type="dxa"/>
          </w:tcPr>
          <w:p w:rsidR="00CD30C7" w:rsidRDefault="00CD30C7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7440" w:type="dxa"/>
          </w:tcPr>
          <w:p w:rsidR="00CD30C7" w:rsidRDefault="00CD30C7">
            <w:pPr>
              <w:pStyle w:val="ConsPlusNormal"/>
              <w:jc w:val="both"/>
            </w:pPr>
            <w:r>
              <w:t>1. "</w:t>
            </w:r>
            <w:hyperlink r:id="rId12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качества и доступности дошкольного образования в Магаданской области" на 2014-2020 годы".</w:t>
            </w:r>
          </w:p>
          <w:p w:rsidR="00CD30C7" w:rsidRDefault="00CD30C7">
            <w:pPr>
              <w:pStyle w:val="ConsPlusNormal"/>
              <w:jc w:val="both"/>
            </w:pPr>
            <w:r>
              <w:t>2. "</w:t>
            </w:r>
            <w:hyperlink r:id="rId1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общего образования в Магаданской области" на 2014-2020 годы".</w:t>
            </w:r>
          </w:p>
          <w:p w:rsidR="00CD30C7" w:rsidRDefault="00CD30C7">
            <w:pPr>
              <w:pStyle w:val="ConsPlusNormal"/>
              <w:jc w:val="both"/>
            </w:pPr>
            <w:r>
              <w:t>3. "</w:t>
            </w:r>
            <w:hyperlink r:id="rId1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дополнительного образования в Магаданской области" на 2014-2020 годы".</w:t>
            </w:r>
          </w:p>
          <w:p w:rsidR="00CD30C7" w:rsidRDefault="00CD30C7">
            <w:pPr>
              <w:pStyle w:val="ConsPlusNormal"/>
              <w:jc w:val="both"/>
            </w:pPr>
            <w:r>
              <w:t>4. "</w:t>
            </w:r>
            <w:hyperlink r:id="rId15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среднего профессионального образования в Магаданской области" на 2014-2020 годы".</w:t>
            </w:r>
          </w:p>
          <w:p w:rsidR="00CD30C7" w:rsidRDefault="00CD30C7">
            <w:pPr>
              <w:pStyle w:val="ConsPlusNormal"/>
              <w:jc w:val="both"/>
            </w:pPr>
            <w:r>
              <w:t>5. "</w:t>
            </w:r>
            <w:hyperlink r:id="rId16" w:history="1">
              <w:r>
                <w:rPr>
                  <w:color w:val="0000FF"/>
                </w:rPr>
                <w:t>Кадры</w:t>
              </w:r>
            </w:hyperlink>
            <w:r>
              <w:t xml:space="preserve"> Магаданской области" на 2014-2020 годы".</w:t>
            </w:r>
          </w:p>
          <w:p w:rsidR="00CD30C7" w:rsidRDefault="00CD30C7">
            <w:pPr>
              <w:pStyle w:val="ConsPlusNormal"/>
              <w:jc w:val="both"/>
            </w:pPr>
            <w:r>
              <w:t>6. "</w:t>
            </w:r>
            <w:hyperlink r:id="rId17" w:history="1">
              <w:r>
                <w:rPr>
                  <w:color w:val="0000FF"/>
                </w:rPr>
                <w:t>Организация</w:t>
              </w:r>
            </w:hyperlink>
            <w:r>
              <w:t xml:space="preserve"> и обеспечение отдыха и оздоровления детей в Магаданской области" на 2014-2020 годы".</w:t>
            </w:r>
          </w:p>
          <w:p w:rsidR="00CD30C7" w:rsidRDefault="00CD30C7">
            <w:pPr>
              <w:pStyle w:val="ConsPlusNormal"/>
              <w:jc w:val="both"/>
            </w:pPr>
            <w:r>
              <w:t>7. "</w:t>
            </w:r>
            <w:hyperlink r:id="rId18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годы".</w:t>
            </w:r>
          </w:p>
          <w:p w:rsidR="00CD30C7" w:rsidRDefault="00CD30C7">
            <w:pPr>
              <w:pStyle w:val="ConsPlusNormal"/>
              <w:jc w:val="both"/>
            </w:pPr>
            <w:r>
              <w:t>8. "</w:t>
            </w:r>
            <w:hyperlink r:id="rId19" w:history="1">
              <w:r>
                <w:rPr>
                  <w:color w:val="0000FF"/>
                </w:rPr>
                <w:t>Ипотечное</w:t>
              </w:r>
            </w:hyperlink>
            <w:r>
              <w:t xml:space="preserve"> кредитование молодых учителей общеобразовательных организаций Магаданской области" на 2014-2020 годы".</w:t>
            </w:r>
          </w:p>
          <w:p w:rsidR="00CD30C7" w:rsidRDefault="00CD30C7">
            <w:pPr>
              <w:pStyle w:val="ConsPlusNormal"/>
              <w:jc w:val="both"/>
            </w:pPr>
            <w:r>
              <w:t>9. "</w:t>
            </w:r>
            <w:hyperlink r:id="rId20" w:history="1">
              <w:r>
                <w:rPr>
                  <w:color w:val="0000FF"/>
                </w:rPr>
                <w:t>Безопасность</w:t>
              </w:r>
            </w:hyperlink>
            <w:r>
              <w:t xml:space="preserve"> образовательных организаций в Магаданской области" на 2014-2020 годы".</w:t>
            </w:r>
          </w:p>
          <w:p w:rsidR="00CD30C7" w:rsidRDefault="00CD30C7">
            <w:pPr>
              <w:pStyle w:val="ConsPlusNormal"/>
              <w:jc w:val="both"/>
            </w:pPr>
            <w:r>
              <w:t>10. "</w:t>
            </w:r>
            <w:hyperlink r:id="rId21" w:history="1">
              <w:r>
                <w:rPr>
                  <w:color w:val="0000FF"/>
                </w:rPr>
                <w:t>Управление</w:t>
              </w:r>
            </w:hyperlink>
            <w:r>
              <w:t xml:space="preserve"> развитием отрасли образования в Магаданской области" на 2014-2020 годы"</w:t>
            </w:r>
          </w:p>
        </w:tc>
      </w:tr>
      <w:tr w:rsidR="00CD30C7">
        <w:tc>
          <w:tcPr>
            <w:tcW w:w="2340" w:type="dxa"/>
          </w:tcPr>
          <w:p w:rsidR="00CD30C7" w:rsidRDefault="00CD30C7">
            <w:pPr>
              <w:pStyle w:val="ConsPlusNormal"/>
              <w:jc w:val="both"/>
            </w:pPr>
            <w:r>
              <w:t xml:space="preserve">Программно-целевые </w:t>
            </w:r>
            <w:r>
              <w:lastRenderedPageBreak/>
              <w:t>инструменты государственной программы</w:t>
            </w:r>
          </w:p>
        </w:tc>
        <w:tc>
          <w:tcPr>
            <w:tcW w:w="7440" w:type="dxa"/>
          </w:tcPr>
          <w:p w:rsidR="00CD30C7" w:rsidRDefault="00CD30C7">
            <w:pPr>
              <w:pStyle w:val="ConsPlusNormal"/>
              <w:jc w:val="both"/>
            </w:pPr>
            <w:r>
              <w:lastRenderedPageBreak/>
              <w:t>не предусмотрены</w:t>
            </w:r>
          </w:p>
        </w:tc>
      </w:tr>
      <w:tr w:rsidR="00CD30C7">
        <w:tblPrEx>
          <w:tblBorders>
            <w:insideH w:val="nil"/>
          </w:tblBorders>
        </w:tblPrEx>
        <w:tc>
          <w:tcPr>
            <w:tcW w:w="2340" w:type="dxa"/>
            <w:tcBorders>
              <w:bottom w:val="nil"/>
            </w:tcBorders>
          </w:tcPr>
          <w:p w:rsidR="00CD30C7" w:rsidRDefault="00CD30C7">
            <w:pPr>
              <w:pStyle w:val="ConsPlusNormal"/>
              <w:jc w:val="both"/>
            </w:pPr>
            <w:r>
              <w:lastRenderedPageBreak/>
              <w:t>Целевые показатели государственной программы</w:t>
            </w:r>
          </w:p>
        </w:tc>
        <w:tc>
          <w:tcPr>
            <w:tcW w:w="7440" w:type="dxa"/>
            <w:tcBorders>
              <w:bottom w:val="nil"/>
            </w:tcBorders>
          </w:tcPr>
          <w:p w:rsidR="00CD30C7" w:rsidRDefault="00CD30C7">
            <w:pPr>
              <w:pStyle w:val="ConsPlusNormal"/>
              <w:jc w:val="both"/>
            </w:pPr>
            <w:r>
              <w:t>-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:rsidR="00CD30C7" w:rsidRDefault="00CD30C7">
            <w:pPr>
              <w:pStyle w:val="ConsPlusNormal"/>
              <w:jc w:val="both"/>
            </w:pPr>
            <w:r>
              <w:t>- удельный вес численности детей в возрасте от 1 года до 7 лет, охваченных различными формами дошкольного образования, в общей численности детей дошкольного возраста;</w:t>
            </w:r>
          </w:p>
          <w:p w:rsidR="00CD30C7" w:rsidRDefault="00CD30C7">
            <w:pPr>
              <w:pStyle w:val="ConsPlusNormal"/>
              <w:jc w:val="both"/>
            </w:pPr>
            <w:r>
              <w:t>- количество дополнительных дошкольных мест в образовательных организациях Магаданской области;</w:t>
            </w:r>
          </w:p>
          <w:p w:rsidR="00CD30C7" w:rsidRDefault="00CD30C7">
            <w:pPr>
              <w:pStyle w:val="ConsPlusNormal"/>
              <w:jc w:val="both"/>
            </w:pPr>
            <w:r>
              <w:t>- количество дошкольных образовательных организаций, в которых укреплена материально-техническая база;</w:t>
            </w:r>
          </w:p>
          <w:p w:rsidR="00CD30C7" w:rsidRDefault="00CD30C7">
            <w:pPr>
              <w:pStyle w:val="ConsPlusNormal"/>
              <w:jc w:val="both"/>
            </w:pPr>
            <w:r>
              <w:t>- количество детей с ограниченными возможностями здоровья, обучающихся в образовательных организациях, которым возмещены расходы по присмотру и уходу;</w:t>
            </w:r>
          </w:p>
          <w:p w:rsidR="00CD30C7" w:rsidRDefault="00CD30C7">
            <w:pPr>
              <w:pStyle w:val="ConsPlusNormal"/>
              <w:jc w:val="both"/>
            </w:pPr>
            <w:r>
              <w:t>- удельный вес численности обучающихся по программам общего образования, участвующих в олимпиадах и конкурсах различного уровня;</w:t>
            </w:r>
          </w:p>
          <w:p w:rsidR="00CD30C7" w:rsidRDefault="00CD30C7">
            <w:pPr>
              <w:pStyle w:val="ConsPlusNormal"/>
              <w:jc w:val="both"/>
            </w:pPr>
            <w:r>
              <w:t>- отношение среднего балла ЕГЭ в 10% школ с лучшими результатами ЕГЭ к среднему баллу ЕГЭ в 10% школ с худшими результатами ЕГЭ;</w:t>
            </w:r>
          </w:p>
          <w:p w:rsidR="00CD30C7" w:rsidRDefault="00CD30C7">
            <w:pPr>
              <w:pStyle w:val="ConsPlusNormal"/>
              <w:jc w:val="both"/>
            </w:pPr>
            <w:r>
              <w:t>- 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:rsidR="00CD30C7" w:rsidRDefault="00CD30C7">
            <w:pPr>
              <w:pStyle w:val="ConsPlusNormal"/>
              <w:jc w:val="both"/>
            </w:pPr>
            <w:r>
              <w:t xml:space="preserve">- доля учителей общего образования, участвующих в реализации </w:t>
            </w:r>
            <w:proofErr w:type="spellStart"/>
            <w:r>
              <w:t>ФГОС</w:t>
            </w:r>
            <w:proofErr w:type="spellEnd"/>
            <w:r>
              <w:t xml:space="preserve"> и прошедших курсовую подготовку по его введению от общего числа учителей начального и общего образования;</w:t>
            </w:r>
          </w:p>
          <w:p w:rsidR="00CD30C7" w:rsidRDefault="00CD30C7">
            <w:pPr>
              <w:pStyle w:val="ConsPlusNormal"/>
              <w:jc w:val="both"/>
            </w:pPr>
            <w:r>
              <w:t>- удельный вес численности учащихся, обучающихся по федеральным государственным образовательным стандартам;</w:t>
            </w:r>
          </w:p>
          <w:p w:rsidR="00CD30C7" w:rsidRDefault="00CD30C7">
            <w:pPr>
              <w:pStyle w:val="ConsPlusNormal"/>
              <w:jc w:val="both"/>
            </w:pPr>
            <w:r>
              <w:t>- удельный вес численности учащихся 1-11-х классов, охваченных горячим питанием;</w:t>
            </w:r>
          </w:p>
          <w:p w:rsidR="00CD30C7" w:rsidRDefault="00CD30C7">
            <w:pPr>
              <w:pStyle w:val="ConsPlusNormal"/>
              <w:jc w:val="both"/>
            </w:pPr>
            <w:r>
              <w:t>- численность обучающихся на один персональный компьютер;</w:t>
            </w:r>
          </w:p>
          <w:p w:rsidR="00CD30C7" w:rsidRDefault="00CD30C7">
            <w:pPr>
              <w:pStyle w:val="ConsPlusNormal"/>
              <w:jc w:val="both"/>
            </w:pPr>
            <w:r>
              <w:t>- удельный вес численности учащихся, систематически занимающихся физической культурой и спортом;</w:t>
            </w:r>
          </w:p>
          <w:p w:rsidR="00CD30C7" w:rsidRDefault="00CD30C7">
            <w:pPr>
              <w:pStyle w:val="ConsPlusNormal"/>
              <w:jc w:val="both"/>
            </w:pPr>
            <w:r>
              <w:t>- охват детей в возрасте 5-18 лет программами дополнительного образования;</w:t>
            </w:r>
          </w:p>
          <w:p w:rsidR="00CD30C7" w:rsidRDefault="00CD30C7">
            <w:pPr>
              <w:pStyle w:val="ConsPlusNormal"/>
              <w:jc w:val="both"/>
            </w:pPr>
            <w:r>
              <w:t>- количество организаций дополнительного образования, в которых укреплена материально-техническая база;</w:t>
            </w:r>
          </w:p>
          <w:p w:rsidR="00CD30C7" w:rsidRDefault="00CD30C7">
            <w:pPr>
              <w:pStyle w:val="ConsPlusNormal"/>
              <w:jc w:val="both"/>
            </w:pPr>
            <w:r>
              <w:t>- удельный вес численности выпускников профессиональных образовательных организаций, трудоустроенных в течение первого года после выпуска;</w:t>
            </w:r>
          </w:p>
          <w:p w:rsidR="00CD30C7" w:rsidRDefault="00CD30C7">
            <w:pPr>
              <w:pStyle w:val="ConsPlusNormal"/>
              <w:jc w:val="both"/>
            </w:pPr>
            <w:r>
              <w:t>- доля профессиональных образовательных организаций, обновивших лаборатории и производственную базу от общего числа профессиональных образовательных организаций;</w:t>
            </w:r>
          </w:p>
          <w:p w:rsidR="00CD30C7" w:rsidRDefault="00CD30C7">
            <w:pPr>
              <w:pStyle w:val="ConsPlusNormal"/>
              <w:jc w:val="both"/>
            </w:pPr>
            <w:r>
              <w:t>- доля поступивших в профессиональные образовательные организации, получивших квалифицированную помощь по профессиональной ориентации;</w:t>
            </w:r>
          </w:p>
          <w:p w:rsidR="00CD30C7" w:rsidRDefault="00CD30C7">
            <w:pPr>
              <w:pStyle w:val="ConsPlusNormal"/>
              <w:jc w:val="both"/>
            </w:pPr>
            <w:r>
              <w:t>- доля выпускников профессиональных образовательных организаций, получивших повышенный разряд, к общему количеству выпускников;</w:t>
            </w:r>
          </w:p>
          <w:p w:rsidR="00CD30C7" w:rsidRDefault="00CD30C7">
            <w:pPr>
              <w:pStyle w:val="ConsPlusNormal"/>
              <w:jc w:val="both"/>
            </w:pPr>
            <w:r>
              <w:t>- удельный вес численности педагогического персонала профессиональных образовательных организаций, ежегодно проходящего повышение квалификации и профессиональную переподготовку;</w:t>
            </w:r>
          </w:p>
          <w:p w:rsidR="00CD30C7" w:rsidRDefault="00CD30C7">
            <w:pPr>
              <w:pStyle w:val="ConsPlusNormal"/>
              <w:jc w:val="both"/>
            </w:pPr>
            <w:r>
              <w:t xml:space="preserve">- обеспеченность отраслей экономики и социальной сферы </w:t>
            </w:r>
            <w:r>
              <w:lastRenderedPageBreak/>
              <w:t>квалифицированными кадрами;</w:t>
            </w:r>
          </w:p>
          <w:p w:rsidR="00CD30C7" w:rsidRDefault="00CD30C7">
            <w:pPr>
              <w:pStyle w:val="ConsPlusNormal"/>
              <w:jc w:val="both"/>
            </w:pPr>
            <w:r>
              <w:t>- удельный вес численности выпускников профессиональных образовательных организаций, трудоустроенных по специальности в течение первого года по окончании учебного заведения;</w:t>
            </w:r>
          </w:p>
          <w:p w:rsidR="00CD30C7" w:rsidRDefault="00CD30C7">
            <w:pPr>
              <w:pStyle w:val="ConsPlusNormal"/>
              <w:jc w:val="both"/>
            </w:pPr>
            <w:r>
              <w:t>- численность трудоспособного населения, прошедшего профессиональную подготовку, переподготовку и повышение квалификации на базе профессиональных образовательных организаций;</w:t>
            </w:r>
          </w:p>
          <w:p w:rsidR="00CD30C7" w:rsidRDefault="00CD30C7">
            <w:pPr>
              <w:pStyle w:val="ConsPlusNormal"/>
              <w:jc w:val="both"/>
            </w:pPr>
            <w:r>
              <w:t>- организация профессионального обучения и дополнительного профессионального образования безработных граждан в соответствии с потребностью регионального рынка труда;</w:t>
            </w:r>
          </w:p>
          <w:p w:rsidR="00CD30C7" w:rsidRDefault="00CD30C7">
            <w:pPr>
              <w:pStyle w:val="ConsPlusNormal"/>
              <w:jc w:val="both"/>
            </w:pPr>
            <w:r>
              <w:t>- численность граждан пенсионного возраста, направленных на профессиональное обучение или получение дополнительного профессионального образования по профессиям массового спроса;</w:t>
            </w:r>
          </w:p>
          <w:p w:rsidR="00CD30C7" w:rsidRDefault="00CD30C7">
            <w:pPr>
              <w:pStyle w:val="ConsPlusNormal"/>
              <w:jc w:val="both"/>
            </w:pPr>
            <w:r>
              <w:t>- численность граждан, находящихся под риском увольнения, направленных на опережающее профессиональное обучение или получение дополнительного профессионального образования;</w:t>
            </w:r>
          </w:p>
          <w:p w:rsidR="00CD30C7" w:rsidRDefault="00CD30C7">
            <w:pPr>
              <w:pStyle w:val="ConsPlusNormal"/>
              <w:jc w:val="both"/>
            </w:pPr>
            <w:r>
              <w:t>- численность работников предприятий (организаций), реализующих инвестиционные проекты и (или) проводящих модернизацию производства, направленных на опережающее профессиональное обучение или получение дополнительного профессионального образования;</w:t>
            </w:r>
          </w:p>
          <w:p w:rsidR="00CD30C7" w:rsidRDefault="00CD30C7">
            <w:pPr>
              <w:pStyle w:val="ConsPlusNormal"/>
              <w:jc w:val="both"/>
            </w:pPr>
            <w:r>
              <w:t>- доля профессиональных образовательных организаций, реализующих с социальными партнерами совместные образовательные проекты;</w:t>
            </w:r>
          </w:p>
          <w:p w:rsidR="00CD30C7" w:rsidRDefault="00CD30C7">
            <w:pPr>
              <w:pStyle w:val="ConsPlusNormal"/>
              <w:jc w:val="both"/>
            </w:pPr>
            <w:r>
              <w:t>- доля профессиональных образовательных организаций, в подготовке и оценке профессиональных компетенций выпускников которых принимают участие представители работодателей;</w:t>
            </w:r>
          </w:p>
          <w:p w:rsidR="00CD30C7" w:rsidRDefault="00CD30C7">
            <w:pPr>
              <w:pStyle w:val="ConsPlusNormal"/>
              <w:jc w:val="both"/>
            </w:pPr>
            <w:r>
              <w:t>- доля профессиональных образовательных организаций, реализующих инновационные образовательные программы и производственные технологии;</w:t>
            </w:r>
          </w:p>
          <w:p w:rsidR="00CD30C7" w:rsidRDefault="00CD30C7">
            <w:pPr>
              <w:pStyle w:val="ConsPlusNormal"/>
              <w:jc w:val="both"/>
            </w:pPr>
            <w:r>
              <w:t>- доля выпускников профессиональных образовательных организаций, принятых на работу по договорам с организациями, в общем числе выпускников;</w:t>
            </w:r>
          </w:p>
          <w:p w:rsidR="00CD30C7" w:rsidRDefault="00CD30C7">
            <w:pPr>
              <w:pStyle w:val="ConsPlusNormal"/>
              <w:jc w:val="both"/>
            </w:pPr>
            <w:r>
              <w:t>- доля выпускников общеобразовательных школ, ориентированных на выбор рабочих профессий при планировании карьеры, в общем числе выпускников;</w:t>
            </w:r>
          </w:p>
          <w:p w:rsidR="00CD30C7" w:rsidRDefault="00CD30C7">
            <w:pPr>
              <w:pStyle w:val="ConsPlusNormal"/>
              <w:jc w:val="both"/>
            </w:pPr>
            <w:r>
              <w:t>- удельный вес детей в возрасте от 6 до 18 лет, охваченных отдыхом и оздоровлением (от общего числа детей данной возрастной категории, проживающих на территории Магаданской области, без учета выпускников 11-12 классов);</w:t>
            </w:r>
          </w:p>
          <w:p w:rsidR="00CD30C7" w:rsidRDefault="00CD30C7">
            <w:pPr>
              <w:pStyle w:val="ConsPlusNormal"/>
              <w:jc w:val="both"/>
            </w:pPr>
            <w:r>
              <w:t>- удельный вес детей-сирот и детей, оставшихся без попечения родителей - воспитанников государственных образовательных организаций, охваченных отдыхом и оздоровлением;</w:t>
            </w:r>
          </w:p>
          <w:p w:rsidR="00CD30C7" w:rsidRDefault="00CD30C7">
            <w:pPr>
              <w:pStyle w:val="ConsPlusNormal"/>
              <w:jc w:val="both"/>
            </w:pPr>
            <w:r>
              <w:t>- удельный вес детей "группы риска", охваченных отдыхом, оздоровлением (к общему числу детей, состоящих на различных видах профилактического учета);</w:t>
            </w:r>
          </w:p>
          <w:p w:rsidR="00CD30C7" w:rsidRDefault="00CD30C7">
            <w:pPr>
              <w:pStyle w:val="ConsPlusNormal"/>
              <w:jc w:val="both"/>
            </w:pPr>
            <w:r>
              <w:t>- количество лагерей с дневным пребыванием детей в местах традиционного проживания коренных малочисленных народов Севера, в которых укреплена материально-техническая база;</w:t>
            </w:r>
          </w:p>
          <w:p w:rsidR="00CD30C7" w:rsidRDefault="00CD30C7">
            <w:pPr>
              <w:pStyle w:val="ConsPlusNormal"/>
              <w:jc w:val="both"/>
            </w:pPr>
            <w:r>
              <w:t>- численность детей-сирот, детей, оставшихся без попечения родителей, а также лиц из числа детей-сирот, детей, оставшихся без попечения родителей, состоящих на учете на получение благоустроенного жилого помещения в текущем (очередном) году;</w:t>
            </w:r>
          </w:p>
          <w:p w:rsidR="00CD30C7" w:rsidRDefault="00CD30C7">
            <w:pPr>
              <w:pStyle w:val="ConsPlusNormal"/>
              <w:jc w:val="both"/>
            </w:pPr>
            <w:r>
              <w:t xml:space="preserve">- из них имеющих право и не реализовавших своевременно право на </w:t>
            </w:r>
            <w:r>
              <w:lastRenderedPageBreak/>
              <w:t>обеспечение жилыми помещениями;</w:t>
            </w:r>
          </w:p>
          <w:p w:rsidR="00CD30C7" w:rsidRDefault="00CD30C7">
            <w:pPr>
              <w:pStyle w:val="ConsPlusNormal"/>
              <w:jc w:val="both"/>
            </w:pPr>
            <w:r>
              <w:t>- 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благоустроенными помещениями в текущем (очередном) году;</w:t>
            </w:r>
          </w:p>
          <w:p w:rsidR="00CD30C7" w:rsidRDefault="00CD30C7">
            <w:pPr>
              <w:pStyle w:val="ConsPlusNormal"/>
              <w:jc w:val="both"/>
            </w:pPr>
            <w:r>
              <w:t>- количество молодых учителей, получивших социальную выплату;</w:t>
            </w:r>
          </w:p>
          <w:p w:rsidR="00CD30C7" w:rsidRDefault="00CD30C7">
            <w:pPr>
              <w:pStyle w:val="ConsPlusNormal"/>
              <w:jc w:val="both"/>
            </w:pPr>
            <w:r>
              <w:t>- доля молодых учителей, получивших ипотечный кредит, от общей численности молодых учителей, желающих получить ипотечный кредит;</w:t>
            </w:r>
          </w:p>
          <w:p w:rsidR="00CD30C7" w:rsidRDefault="00CD30C7">
            <w:pPr>
              <w:pStyle w:val="ConsPlusNormal"/>
              <w:jc w:val="both"/>
            </w:pPr>
            <w:r>
              <w:t>- доля учащихся общеобразовательных организаций, вовлеченных в процесс обучения по вопросам гражданской обороны, защите от чрезвычайных ситуаций и террористических акций;</w:t>
            </w:r>
          </w:p>
          <w:p w:rsidR="00CD30C7" w:rsidRDefault="00CD30C7">
            <w:pPr>
              <w:pStyle w:val="ConsPlusNormal"/>
              <w:jc w:val="both"/>
            </w:pPr>
            <w:r>
              <w:t>удельный вес количества образовательных организаций, оснащенных пожарной охранной сигнализациями, средствами видеонаблюдения, пожаротушения;</w:t>
            </w:r>
          </w:p>
          <w:p w:rsidR="00CD30C7" w:rsidRDefault="00CD30C7">
            <w:pPr>
              <w:pStyle w:val="ConsPlusNormal"/>
              <w:jc w:val="both"/>
            </w:pPr>
            <w:r>
              <w:t>- обеспечение функционирования государственных организаций образования</w:t>
            </w:r>
          </w:p>
        </w:tc>
      </w:tr>
      <w:tr w:rsidR="00CD30C7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CD30C7" w:rsidRDefault="00CD30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24.06.2015 N 405-пп)</w:t>
            </w:r>
          </w:p>
        </w:tc>
      </w:tr>
      <w:tr w:rsidR="00CD30C7">
        <w:tc>
          <w:tcPr>
            <w:tcW w:w="2340" w:type="dxa"/>
          </w:tcPr>
          <w:p w:rsidR="00CD30C7" w:rsidRDefault="00CD30C7">
            <w:pPr>
              <w:pStyle w:val="ConsPlusNormal"/>
              <w:jc w:val="both"/>
            </w:pPr>
            <w:r>
              <w:t>Сроки и этапы реализации государственной программы</w:t>
            </w:r>
          </w:p>
        </w:tc>
        <w:tc>
          <w:tcPr>
            <w:tcW w:w="7440" w:type="dxa"/>
          </w:tcPr>
          <w:p w:rsidR="00CD30C7" w:rsidRDefault="00CD30C7">
            <w:pPr>
              <w:pStyle w:val="ConsPlusNormal"/>
              <w:jc w:val="both"/>
            </w:pPr>
            <w:r>
              <w:t>2014-2020 годы.</w:t>
            </w:r>
          </w:p>
          <w:p w:rsidR="00CD30C7" w:rsidRDefault="00CD30C7">
            <w:pPr>
              <w:pStyle w:val="ConsPlusNormal"/>
              <w:jc w:val="both"/>
            </w:pPr>
            <w:r>
              <w:t>Этапы реализации государственной программы не выделяются</w:t>
            </w:r>
          </w:p>
        </w:tc>
      </w:tr>
      <w:tr w:rsidR="00CD30C7">
        <w:tblPrEx>
          <w:tblBorders>
            <w:insideH w:val="nil"/>
          </w:tblBorders>
        </w:tblPrEx>
        <w:tc>
          <w:tcPr>
            <w:tcW w:w="2340" w:type="dxa"/>
            <w:tcBorders>
              <w:bottom w:val="nil"/>
            </w:tcBorders>
          </w:tcPr>
          <w:p w:rsidR="00CD30C7" w:rsidRDefault="00CD30C7">
            <w:pPr>
              <w:pStyle w:val="ConsPlusNormal"/>
              <w:jc w:val="both"/>
            </w:pPr>
            <w:r>
              <w:t>Ресурсное обеспечение государственной программы</w:t>
            </w:r>
          </w:p>
        </w:tc>
        <w:tc>
          <w:tcPr>
            <w:tcW w:w="7440" w:type="dxa"/>
            <w:tcBorders>
              <w:bottom w:val="nil"/>
            </w:tcBorders>
          </w:tcPr>
          <w:p w:rsidR="00CD30C7" w:rsidRDefault="00CD30C7">
            <w:pPr>
              <w:pStyle w:val="ConsPlusNormal"/>
              <w:jc w:val="both"/>
            </w:pPr>
            <w:r>
              <w:t>общий объем финансирования составляет 23 143 143,2 тыс. рублей, в том числе по годам: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- 1 772 485,5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- 5 032 904,8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- 5 429 561,0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- 5 913 280,2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- 1 753 991,6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- 1 620 360,9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- 1 620 559,2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федерального бюджета - 196 721,2 тыс. рублей,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- 139 487,5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- 32 212,1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- 12 276,6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- 12 745,0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областного бюджета - 22 871 318,3 тыс. рублей,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- 1 623 843,5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- 4 996 670,6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- 5 364 286,3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- 5 899 594,2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- 1 751 065,6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- 1 617 869,9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- 1 617 988,2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местного бюджета - 75 103,7 тыс. рублей,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- 9 154,5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- 4 022,1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- 52 998,1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- 941,0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lastRenderedPageBreak/>
              <w:t>2018 год - 2 926,0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- 2 491,0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- 2 571,0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в разрезе подпрограмм:</w:t>
            </w:r>
          </w:p>
          <w:p w:rsidR="00CD30C7" w:rsidRDefault="00CD30C7">
            <w:pPr>
              <w:pStyle w:val="ConsPlusNormal"/>
              <w:jc w:val="both"/>
            </w:pPr>
            <w:r>
              <w:t xml:space="preserve">- </w:t>
            </w:r>
            <w:hyperlink r:id="rId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качества и доступности дошкольного образования в Магаданской области" на 2014-2020 годы" - объем финансирования составляет 389 873,7 тыс. рублей, в том числе по годам: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- 208 007,1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- 100 112,5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- 21 299,0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- 21 648,8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- 19 558,1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- 10 281,6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- 8 966,6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федерального бюджета - 115 286,5 тыс. рублей,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- 97 045,4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- 18 241,1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областного бюджета - 253 850,9 тыс. рублей,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- 105 634,1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- 78 019,2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- 17 431,5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- 21 017,8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- 16 942,1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- 8 100,6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- 6 705,6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местного бюджета - 20 736,3 тыс. рублей (прогноз),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- 5 327,6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- 3 852,2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- 3 867,5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- 631,0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- 2 616,0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- 2 181,0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- 2 261,0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 xml:space="preserve">- </w:t>
            </w:r>
            <w:hyperlink r:id="rId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 в Магаданской области" на 2014-2020 годы" - объем финансирования составляет 291 550,5 тыс. рублей, в том числе по годам: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- 26 711,5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- 74 814,3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- 59 421,7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- 59 421,7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- 22 647,1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- 23 658,9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- 24 875,3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федерального бюджета - 400,0 тыс. рублей,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- 200,0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- 200,0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областного бюджета - 291 150,5 тыс. рублей,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- 26 511,5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lastRenderedPageBreak/>
              <w:t>2015 год - 74 614,3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- 59 421,7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- 59 421,7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- 22 647,1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- 23 658,9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- 24 875,3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 xml:space="preserve">- </w:t>
            </w:r>
            <w:hyperlink r:id="rId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 в Магаданской области" на 2014-2020 годы" - объем финансирования составляет 36 462,0 тыс. рублей, в том числе по годам: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- 5 259,1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- 4 558,5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- 5 368,1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- 5 368,1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- 5 345,1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- 4 871,0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- 5 692,1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областного бюджета - 35 762,0 тыс. рублей,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- 5 159,1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- 4 458,5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- 5 268,1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- 5 268,1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- 5 245,1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- 4 771,0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- 5 592,1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местного бюджета - 700,0 тыс. рублей (прогноз),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- 100,0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- 100,0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- 100,0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- 100,0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- 100,0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- 100,0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- 100,0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 xml:space="preserve">- </w:t>
            </w:r>
            <w:hyperlink r:id="rId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среднего профессионального образования в Магаданской области" на 2014-2020 годы" - объем финансирования составляет 62 949,7 тыс. рублей, в том числе по годам: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- 10 919,2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- 17 977,3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- 6 413,1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- 2 810,3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- 8 781,2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- 8 302,5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- 7 746,1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федерального бюджета - 557,6 тыс. рублей,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- 312,8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- 244,8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областного бюджета - 62 392,1 тыс. рублей,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- 10 606,4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- 17 732,5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- 6 413,1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lastRenderedPageBreak/>
              <w:t>2017 год - 2 810,3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- 8 781,2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- 8 302,5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- 7 746,1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 xml:space="preserve">- </w:t>
            </w:r>
            <w:hyperlink r:id="rId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"Кадры Магаданской области" на 2014-2020 годы" - объем финансирования из областного бюджета составляет 456 716,2 тыс. рублей, в том числе по годам: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- 25 840,4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- 53 576,8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- 100 861,3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- 99 736,9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- 82 350,7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- 50 869,7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- 43 480,4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 xml:space="preserve">- </w:t>
            </w:r>
            <w:hyperlink r:id="rId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и обеспечение отдыха и оздоровления детей в Магаданской области" на 2014-2020 годы" - объем финансирования составляет 1 332 373,3 тыс. рублей, в том числе по годам: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- 152 657,6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- 178 304,7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- 258 072,4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- 210 169,6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- 238 029,4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- 144 285,3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- 150 854,3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федерального бюджета - 34 306,6 тыс. рублей, в том числе: 2014 год - 34 306,6 тыс. рублей, в том числе за счет средств областного бюджета - 1 248 106,7 тыс. рублей,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- 118 141,0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- 178 304,7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- 209 162,4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- 209 959,6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- 237 819,4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- 144 075,3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- 150 644,3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местного бюджета - 49 960,0 тыс. рублей (прогноз),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- 210,0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- 0,0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- 48 910,0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- 210,0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- 210,0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- 210,0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- 210,0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 xml:space="preserve">- </w:t>
            </w:r>
            <w:hyperlink r:id="rId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 - объем финансирования составляет 320 236,1 тыс. рублей, в том числе по годам: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- 77 695,0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- 87 248,6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- 77 686,6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- 77 605,9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 xml:space="preserve">в том числе за счет средств федерального бюджета - 26 775,4 тыс. рублей, в </w:t>
            </w:r>
            <w:r>
              <w:lastRenderedPageBreak/>
              <w:t>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- 6 475,0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- 6 694,7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- 6 843,2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- 6 762,5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областного бюджета - 293 460,7 тыс. рублей,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- 71 220,0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- 80 553,9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- 70 843,4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- 70 843,4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 xml:space="preserve">- </w:t>
            </w:r>
            <w:hyperlink r:id="rId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"Ипотечное кредитование молодых учителей общеобразовательных организаций Магаданской области" на 2014-2020 годы" - объем финансирования составляет 22 742,4 тыс. рублей, в том числе по годам: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- 1 787,4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- 3 492,5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- 3 492,5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- 3 492,5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- 3 492,5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- 3 492,5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- 3 492,5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федерального бюджета - 1 147,7 тыс. рублей, в том числе: 2014 год - 1 147,7 тыс. рублей, в том числе за счет средств областного бюджета - 21 594,7 тыс. рублей,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- 639,7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- 3 492,5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- 3 492,5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- 3 492,5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- 3 492,5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- 3 492,5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- 3 492,5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 xml:space="preserve">- </w:t>
            </w:r>
            <w:hyperlink r:id="rId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"Безопасность образовательных организаций Магаданской области" на 2014-2020 годы" - объем финансирования составляет 111 206,3 тыс. рублей, в том числе по годам: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- 16 340,7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- 14 097,1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- 14 849,1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- 14 728,5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- 16 238,2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- 17 050,1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- 17 902,6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областного бюджета - 107 498,9 тыс. рублей,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- 12 823,8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- 14 027,2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- 14 728,5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- 14 728,5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- 16 238,2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- 17 050,1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- 17 902,6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местного бюджета - 3 707,4 тыс. рублей (прогноз),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lastRenderedPageBreak/>
              <w:t>2014 год - 3 516,9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- 69,9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- 120,6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 xml:space="preserve">- </w:t>
            </w:r>
            <w:hyperlink r:id="rId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развитием отрасли образования в Магаданской области" на 2014-2020 годы" - объем финансирования 20 119 033,0 тыс. рублей, в том числе по годам: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- 1 247 267,5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- 4 498 722,5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- 4 882 097,2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- 5 418 297,9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- 1 357 549,3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- 1 357 549,3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- 1 357 549,3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федерального бюджета - 18 247,4 тыс. рублей,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- 6 831,5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- 5 433,4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- 5 982,5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в том числе за счет средств областного бюджета - 20 100 785,6 тыс. рублей, в том числе:</w:t>
            </w:r>
          </w:p>
          <w:p w:rsidR="00CD30C7" w:rsidRDefault="00CD30C7">
            <w:pPr>
              <w:pStyle w:val="ConsPlusNormal"/>
              <w:jc w:val="both"/>
            </w:pPr>
            <w:r>
              <w:t>2014 год - 1 247 267,5 тыс. рублей,</w:t>
            </w:r>
          </w:p>
          <w:p w:rsidR="00CD30C7" w:rsidRDefault="00CD30C7">
            <w:pPr>
              <w:pStyle w:val="ConsPlusNormal"/>
              <w:jc w:val="both"/>
            </w:pPr>
            <w:r>
              <w:t>2015 год - 4 491 891,0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2016 год - 4 876 663,8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2017 год - 5 412 315,4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2018 год - 1 357 549,3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2019 год - 1 357 549,3 тыс. рублей;</w:t>
            </w:r>
          </w:p>
          <w:p w:rsidR="00CD30C7" w:rsidRDefault="00CD30C7">
            <w:pPr>
              <w:pStyle w:val="ConsPlusNormal"/>
              <w:jc w:val="both"/>
            </w:pPr>
            <w:r>
              <w:t>2020 год - 1 357 549,3 тыс. рублей</w:t>
            </w:r>
          </w:p>
        </w:tc>
      </w:tr>
      <w:tr w:rsidR="00CD30C7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CD30C7" w:rsidRDefault="00CD30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24.06.2015 N 405-пп)</w:t>
            </w:r>
          </w:p>
        </w:tc>
      </w:tr>
      <w:tr w:rsidR="00CD30C7">
        <w:tc>
          <w:tcPr>
            <w:tcW w:w="2340" w:type="dxa"/>
          </w:tcPr>
          <w:p w:rsidR="00CD30C7" w:rsidRDefault="00CD30C7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7440" w:type="dxa"/>
          </w:tcPr>
          <w:p w:rsidR="00CD30C7" w:rsidRDefault="00CD30C7">
            <w:pPr>
              <w:pStyle w:val="ConsPlusNormal"/>
              <w:jc w:val="both"/>
            </w:pPr>
            <w:r>
              <w:t>- обеспечение выполнения государственных гарантий общедоступности дошкольного образования;</w:t>
            </w:r>
          </w:p>
          <w:p w:rsidR="00CD30C7" w:rsidRDefault="00CD30C7">
            <w:pPr>
              <w:pStyle w:val="ConsPlusNormal"/>
              <w:jc w:val="both"/>
            </w:pPr>
            <w:r>
              <w:t>- ликвидация очередности в дошкольные образовательные организации;</w:t>
            </w:r>
          </w:p>
          <w:p w:rsidR="00CD30C7" w:rsidRDefault="00CD30C7">
            <w:pPr>
              <w:pStyle w:val="ConsPlusNormal"/>
              <w:jc w:val="both"/>
            </w:pPr>
            <w:r>
              <w:t>- повышения качества дошкольного образования;</w:t>
            </w:r>
          </w:p>
          <w:p w:rsidR="00CD30C7" w:rsidRDefault="00CD30C7">
            <w:pPr>
              <w:pStyle w:val="ConsPlusNormal"/>
              <w:jc w:val="both"/>
            </w:pPr>
            <w:r>
              <w:t>- обеспечение доступности образования для всех категорий граждан, конкурентоспособности и социальной адаптации выпускников организаций общего образования;</w:t>
            </w:r>
          </w:p>
          <w:p w:rsidR="00CD30C7" w:rsidRDefault="00CD30C7">
            <w:pPr>
              <w:pStyle w:val="ConsPlusNormal"/>
              <w:jc w:val="both"/>
            </w:pPr>
            <w:r>
              <w:t>- обновление содержания образования через поэтапное внедрение федеральных государственных образовательных стандартов;</w:t>
            </w:r>
          </w:p>
          <w:p w:rsidR="00CD30C7" w:rsidRDefault="00CD30C7">
            <w:pPr>
              <w:pStyle w:val="ConsPlusNormal"/>
              <w:jc w:val="both"/>
            </w:pPr>
            <w:r>
              <w:t>- улучшение кадрового обеспечения системы образования;</w:t>
            </w:r>
          </w:p>
          <w:p w:rsidR="00CD30C7" w:rsidRDefault="00CD30C7">
            <w:pPr>
              <w:pStyle w:val="ConsPlusNormal"/>
              <w:jc w:val="both"/>
            </w:pPr>
            <w:r>
              <w:t>- совершенствование системы физического воспитания учащихся образовательных организаций;</w:t>
            </w:r>
          </w:p>
          <w:p w:rsidR="00CD30C7" w:rsidRDefault="00CD30C7">
            <w:pPr>
              <w:pStyle w:val="ConsPlusNormal"/>
              <w:jc w:val="both"/>
            </w:pPr>
            <w:r>
              <w:t>- обеспечение выполнения государственных гарантий - общедоступности и бесплатности дополнительного образования;</w:t>
            </w:r>
          </w:p>
          <w:p w:rsidR="00CD30C7" w:rsidRDefault="00CD30C7">
            <w:pPr>
              <w:pStyle w:val="ConsPlusNormal"/>
              <w:jc w:val="both"/>
            </w:pPr>
            <w:r>
              <w:t>- увеличение охвата детей программами дополнительного образования;</w:t>
            </w:r>
          </w:p>
          <w:p w:rsidR="00CD30C7" w:rsidRDefault="00CD30C7">
            <w:pPr>
              <w:pStyle w:val="ConsPlusNormal"/>
              <w:jc w:val="both"/>
            </w:pPr>
            <w:r>
              <w:t>- оптимизация численности профессиональных образовательных организаций;</w:t>
            </w:r>
          </w:p>
          <w:p w:rsidR="00CD30C7" w:rsidRDefault="00CD30C7">
            <w:pPr>
              <w:pStyle w:val="ConsPlusNormal"/>
              <w:jc w:val="both"/>
            </w:pPr>
            <w:r>
              <w:t>- увеличение численности обучающихся по программам среднего профессионального образования и профессионального обучения;</w:t>
            </w:r>
          </w:p>
          <w:p w:rsidR="00CD30C7" w:rsidRDefault="00CD30C7">
            <w:pPr>
              <w:pStyle w:val="ConsPlusNormal"/>
              <w:jc w:val="both"/>
            </w:pPr>
            <w:r>
              <w:t>- изменение структура образовательных программ и объемов выпуска в соответствии с потребностями региональной экономики;</w:t>
            </w:r>
          </w:p>
          <w:p w:rsidR="00CD30C7" w:rsidRDefault="00CD30C7">
            <w:pPr>
              <w:pStyle w:val="ConsPlusNormal"/>
              <w:jc w:val="both"/>
            </w:pPr>
            <w:r>
              <w:t>- повышение качества среднего профессионального образования и профессионального обучения;</w:t>
            </w:r>
          </w:p>
          <w:p w:rsidR="00CD30C7" w:rsidRDefault="00CD30C7">
            <w:pPr>
              <w:pStyle w:val="ConsPlusNormal"/>
              <w:jc w:val="both"/>
            </w:pPr>
            <w:r>
              <w:lastRenderedPageBreak/>
              <w:t>- повышение эффективности использования ресурсов государственных образовательных организаций, в том числе за счет внедрения форм сетевого взаимодействия и организации кластеров по видам экономической деятельности;</w:t>
            </w:r>
          </w:p>
          <w:p w:rsidR="00CD30C7" w:rsidRDefault="00CD30C7">
            <w:pPr>
              <w:pStyle w:val="ConsPlusNormal"/>
              <w:jc w:val="both"/>
            </w:pPr>
            <w:r>
              <w:t>- обеспечение организаций среднего профессионального образования квалифицированными педагогическими кадрами;</w:t>
            </w:r>
          </w:p>
          <w:p w:rsidR="00CD30C7" w:rsidRDefault="00CD30C7">
            <w:pPr>
              <w:pStyle w:val="ConsPlusNormal"/>
              <w:jc w:val="both"/>
            </w:pPr>
            <w:r>
              <w:t>- формирование инновационных механизмов социального партнерства;</w:t>
            </w:r>
          </w:p>
          <w:p w:rsidR="00CD30C7" w:rsidRDefault="00CD30C7">
            <w:pPr>
              <w:pStyle w:val="ConsPlusNormal"/>
              <w:jc w:val="both"/>
            </w:pPr>
            <w:r>
              <w:t>- формирование механизмов независимой оценки качества;</w:t>
            </w:r>
          </w:p>
          <w:p w:rsidR="00CD30C7" w:rsidRDefault="00CD30C7">
            <w:pPr>
              <w:pStyle w:val="ConsPlusNormal"/>
              <w:jc w:val="both"/>
            </w:pPr>
            <w:r>
              <w:t>- обеспечение основных отраслей экономики и социальной сферы региона квалифицированными кадрами;</w:t>
            </w:r>
          </w:p>
          <w:p w:rsidR="00CD30C7" w:rsidRDefault="00CD30C7">
            <w:pPr>
              <w:pStyle w:val="ConsPlusNormal"/>
              <w:jc w:val="both"/>
            </w:pPr>
            <w:r>
              <w:t>- достижение соответствия между образовательными и профессиональными интересами личности, потребностями рынка труда и объемами подготовки специалистов различных профилей;</w:t>
            </w:r>
          </w:p>
          <w:p w:rsidR="00CD30C7" w:rsidRDefault="00CD30C7">
            <w:pPr>
              <w:pStyle w:val="ConsPlusNormal"/>
              <w:jc w:val="both"/>
            </w:pPr>
            <w:r>
              <w:t>- обновление содержания образования, повышение качества профессиональной подготовки и переподготовки рабочих кадров и специалистов;</w:t>
            </w:r>
          </w:p>
          <w:p w:rsidR="00CD30C7" w:rsidRDefault="00CD30C7">
            <w:pPr>
              <w:pStyle w:val="ConsPlusNormal"/>
              <w:jc w:val="both"/>
            </w:pPr>
            <w:r>
              <w:t>- обновление и повышение эффективности использования материально-технической базы образовательных организаций;</w:t>
            </w:r>
          </w:p>
          <w:p w:rsidR="00CD30C7" w:rsidRDefault="00CD30C7">
            <w:pPr>
              <w:pStyle w:val="ConsPlusNormal"/>
              <w:jc w:val="both"/>
            </w:pPr>
            <w:r>
              <w:t>- укрепление связи профессионального образования с работодателями, повышение эффективности сотрудничества субъектов социального партнерства, участие работодателей в подготовке кадров;</w:t>
            </w:r>
          </w:p>
          <w:p w:rsidR="00CD30C7" w:rsidRDefault="00CD30C7">
            <w:pPr>
              <w:pStyle w:val="ConsPlusNormal"/>
              <w:jc w:val="both"/>
            </w:pPr>
            <w:r>
              <w:t>- повышение конкурентоспособности и профессиональной мобильности выпускников на рынке труда;</w:t>
            </w:r>
          </w:p>
          <w:p w:rsidR="00CD30C7" w:rsidRDefault="00CD30C7">
            <w:pPr>
              <w:pStyle w:val="ConsPlusNormal"/>
              <w:jc w:val="both"/>
            </w:pPr>
            <w:r>
              <w:t>- увеличение количества детей, охваченных отдыхом и оздоровлением (от общего числа детей в возрасте от 7 до 17 лет, проживающих на территории Магаданской области, без учета выпускников 11-12 классов);</w:t>
            </w:r>
          </w:p>
          <w:p w:rsidR="00CD30C7" w:rsidRDefault="00CD30C7">
            <w:pPr>
              <w:pStyle w:val="ConsPlusNormal"/>
              <w:jc w:val="both"/>
            </w:pPr>
            <w:r>
              <w:t>- организация отдыха, оздоровления детей-сирот и детей, оставшихся без попечения родителей воспитанников государственных образовательных организаций, детей "группы риска";</w:t>
            </w:r>
          </w:p>
          <w:p w:rsidR="00CD30C7" w:rsidRDefault="00CD30C7">
            <w:pPr>
              <w:pStyle w:val="ConsPlusNormal"/>
              <w:jc w:val="both"/>
            </w:pPr>
            <w:r>
              <w:t>- организация отдыха и оздоровления детей, находящихся в трудной жизненной ситуации;</w:t>
            </w:r>
          </w:p>
          <w:p w:rsidR="00CD30C7" w:rsidRDefault="00CD30C7">
            <w:pPr>
              <w:pStyle w:val="ConsPlusNormal"/>
              <w:jc w:val="both"/>
            </w:pPr>
            <w:r>
              <w:t>- укрепление материально-технической базы загородных оздоровительных и санаторных организаций Магаданской области;</w:t>
            </w:r>
          </w:p>
          <w:p w:rsidR="00CD30C7" w:rsidRDefault="00CD30C7">
            <w:pPr>
              <w:pStyle w:val="ConsPlusNormal"/>
              <w:jc w:val="both"/>
            </w:pPr>
            <w:r>
              <w:t>- численность детей-сирот, детей, оставшихся без попечения родителей, а также лиц из числа детей-сирот, детей, оставшихся без попечения родителей детей, состоящих на учете на получение благоустроенного жилого помещения в текущем (очередном) году;</w:t>
            </w:r>
          </w:p>
          <w:p w:rsidR="00CD30C7" w:rsidRDefault="00CD30C7">
            <w:pPr>
              <w:pStyle w:val="ConsPlusNormal"/>
              <w:jc w:val="both"/>
            </w:pPr>
            <w:r>
              <w:t>- из них имеющих право и не реализовавших своевременно право на обеспечение жилыми помещениями;</w:t>
            </w:r>
          </w:p>
          <w:p w:rsidR="00CD30C7" w:rsidRDefault="00CD30C7">
            <w:pPr>
              <w:pStyle w:val="ConsPlusNormal"/>
              <w:jc w:val="both"/>
            </w:pPr>
            <w:r>
              <w:t xml:space="preserve">- численность детей-сирот, детей, оставшихся без попечения родителей, а также лиц из числа детей-сирот, детей, </w:t>
            </w:r>
            <w:proofErr w:type="gramStart"/>
            <w:r>
              <w:t>оставшихся без попечения родителей</w:t>
            </w:r>
            <w:proofErr w:type="gramEnd"/>
            <w:r>
              <w:t xml:space="preserve"> обеспеченных благоустроенными жилыми помещениями в текущем (очередном) году;</w:t>
            </w:r>
          </w:p>
          <w:p w:rsidR="00CD30C7" w:rsidRDefault="00CD30C7">
            <w:pPr>
              <w:pStyle w:val="ConsPlusNormal"/>
              <w:jc w:val="both"/>
            </w:pPr>
            <w:r>
              <w:t>- создание стабильных жилищных условий молодым учителям;</w:t>
            </w:r>
          </w:p>
          <w:p w:rsidR="00CD30C7" w:rsidRDefault="00CD30C7">
            <w:pPr>
              <w:pStyle w:val="ConsPlusNormal"/>
              <w:jc w:val="both"/>
            </w:pPr>
            <w:r>
              <w:t>- улучшение демографической ситуации;</w:t>
            </w:r>
          </w:p>
          <w:p w:rsidR="00CD30C7" w:rsidRDefault="00CD30C7">
            <w:pPr>
              <w:pStyle w:val="ConsPlusNormal"/>
              <w:jc w:val="both"/>
            </w:pPr>
            <w:r>
              <w:t>- повышение качества трудовой деятельности;</w:t>
            </w:r>
          </w:p>
          <w:p w:rsidR="00CD30C7" w:rsidRDefault="00CD30C7">
            <w:pPr>
              <w:pStyle w:val="ConsPlusNormal"/>
              <w:jc w:val="both"/>
            </w:pPr>
            <w:r>
              <w:t>- привлечение молодых специалистов в систему образования;</w:t>
            </w:r>
          </w:p>
          <w:p w:rsidR="00CD30C7" w:rsidRDefault="00CD30C7">
            <w:pPr>
              <w:pStyle w:val="ConsPlusNormal"/>
              <w:jc w:val="both"/>
            </w:pPr>
            <w:r>
              <w:t>- привлечение в жилищную сферу дополнительных финансовых средств банков, предоставляющих ипотечные кредиты;</w:t>
            </w:r>
          </w:p>
          <w:p w:rsidR="00CD30C7" w:rsidRDefault="00CD30C7">
            <w:pPr>
              <w:pStyle w:val="ConsPlusNormal"/>
              <w:jc w:val="both"/>
            </w:pPr>
            <w:r>
              <w:t>- развитие системы ипотечного жилищного кредитования в Магаданской области;</w:t>
            </w:r>
          </w:p>
          <w:p w:rsidR="00CD30C7" w:rsidRDefault="00CD30C7">
            <w:pPr>
              <w:pStyle w:val="ConsPlusNormal"/>
              <w:jc w:val="both"/>
            </w:pPr>
            <w:r>
              <w:t>- повышение уровня безопасности образовательного процесса в образовательных организациях;</w:t>
            </w:r>
          </w:p>
          <w:p w:rsidR="00CD30C7" w:rsidRDefault="00CD30C7">
            <w:pPr>
              <w:pStyle w:val="ConsPlusNormal"/>
              <w:jc w:val="both"/>
            </w:pPr>
            <w:r>
              <w:lastRenderedPageBreak/>
              <w:t>- выполнение всех мероприятий государственной программы;</w:t>
            </w:r>
          </w:p>
          <w:p w:rsidR="00CD30C7" w:rsidRDefault="00CD30C7">
            <w:pPr>
              <w:pStyle w:val="ConsPlusNormal"/>
              <w:jc w:val="both"/>
            </w:pPr>
            <w:r>
              <w:t>- достижение запланированных целевых показателей государственной программы</w:t>
            </w:r>
          </w:p>
        </w:tc>
      </w:tr>
    </w:tbl>
    <w:p w:rsidR="00CD30C7" w:rsidRDefault="00CD30C7">
      <w:pPr>
        <w:pStyle w:val="ConsPlusNormal"/>
      </w:pPr>
      <w:hyperlink r:id="rId34" w:history="1">
        <w:r>
          <w:rPr>
            <w:i/>
            <w:color w:val="0000FF"/>
          </w:rPr>
          <w:br/>
          <w:t>Постановление администрации Магаданской области от 28.11.2013 N 1179-па (ред. от 16.07.2015) "Об утверждении государственной программы Магаданской области "Развитие образования в Магаданской области на 2014-2020 годы"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  <w:r>
          <w:rPr>
            <w:i/>
            <w:color w:val="0000FF"/>
          </w:rPr>
          <w:br/>
        </w:r>
      </w:hyperlink>
      <w:bookmarkStart w:id="0" w:name="_GoBack"/>
      <w:bookmarkEnd w:id="0"/>
    </w:p>
    <w:sectPr w:rsidR="00CD30C7" w:rsidSect="00CD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11"/>
    <w:rsid w:val="00350105"/>
    <w:rsid w:val="005D5211"/>
    <w:rsid w:val="00CD30C7"/>
    <w:rsid w:val="00D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4057F-5F8C-4EC9-9F3F-380CE928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">
    <w:name w:val="ConsPlusTitle"/>
    <w:rsid w:val="00CD3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02410F99CA5D09EF50A5742A26DB8DD8C16257127B7A57BFC8CBBA589102B6A7E0758B25F1264152E7Do467G" TargetMode="External"/><Relationship Id="rId13" Type="http://schemas.openxmlformats.org/officeDocument/2006/relationships/hyperlink" Target="consultantplus://offline/ref=6B302410F99CA5D09EF50A5742A26DB8DD8C16257121BBAF7BFC8CBBA589102B6A7E0758B25F12661C267Fo464G" TargetMode="External"/><Relationship Id="rId18" Type="http://schemas.openxmlformats.org/officeDocument/2006/relationships/hyperlink" Target="consultantplus://offline/ref=6B302410F99CA5D09EF50A5742A26DB8DD8C16257121BBAF7BFC8CBBA589102B6A7E0758B25F126015287Eo468G" TargetMode="External"/><Relationship Id="rId26" Type="http://schemas.openxmlformats.org/officeDocument/2006/relationships/hyperlink" Target="consultantplus://offline/ref=6B302410F99CA5D09EF50A5742A26DB8DD8C16257121BBAF7BFC8CBBA589102B6A7E0758B25F1267162D75o46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302410F99CA5D09EF50A5742A26DB8DD8C16257121BBAF7BFC8CBBA589102B6A7E0758B25F1260162C7Fo460G" TargetMode="External"/><Relationship Id="rId34" Type="http://schemas.openxmlformats.org/officeDocument/2006/relationships/hyperlink" Target="consultantplus://offline/ref=6B302410F99CA5D09EF50A5742A26DB8DD8C16257121BBAF7BFC8CBBA589102B6A7E0758B25F1264152E7D4144EF38o96BG" TargetMode="External"/><Relationship Id="rId7" Type="http://schemas.openxmlformats.org/officeDocument/2006/relationships/hyperlink" Target="consultantplus://offline/ref=6B302410F99CA5D09EF50A5742A26DB8DD8C16257127BAA77DFC8CBBA589102B6A7E0758B25F1264152E7Do467G" TargetMode="External"/><Relationship Id="rId12" Type="http://schemas.openxmlformats.org/officeDocument/2006/relationships/hyperlink" Target="consultantplus://offline/ref=6B302410F99CA5D09EF50A5742A26DB8DD8C16257121BBAF7BFC8CBBA589102B6A7E0758B25F1266122E7Ao462G" TargetMode="External"/><Relationship Id="rId17" Type="http://schemas.openxmlformats.org/officeDocument/2006/relationships/hyperlink" Target="consultantplus://offline/ref=6B302410F99CA5D09EF50A5742A26DB8DD8C16257121BBAF7BFC8CBBA589102B6A7E0758B25F12671D2B79o466G" TargetMode="External"/><Relationship Id="rId25" Type="http://schemas.openxmlformats.org/officeDocument/2006/relationships/hyperlink" Target="consultantplus://offline/ref=6B302410F99CA5D09EF50A5742A26DB8DD8C16257121BBAF7BFC8CBBA589102B6A7E0758B25F1267172D78o466G" TargetMode="External"/><Relationship Id="rId33" Type="http://schemas.openxmlformats.org/officeDocument/2006/relationships/hyperlink" Target="consultantplus://offline/ref=6B302410F99CA5D09EF50A5742A26DB8DD8C16257121BEAF7EFC8CBBA589102B6A7E0758B25F1264152E7Co46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302410F99CA5D09EF50A5742A26DB8DD8C16257121BBAF7BFC8CBBA589102B6A7E0758B25F1267132F79o460G" TargetMode="External"/><Relationship Id="rId20" Type="http://schemas.openxmlformats.org/officeDocument/2006/relationships/hyperlink" Target="consultantplus://offline/ref=6B302410F99CA5D09EF50A5742A26DB8DD8C16257121BBAF7BFC8CBBA589102B6A7E0758B25F1260142A78o467G" TargetMode="External"/><Relationship Id="rId29" Type="http://schemas.openxmlformats.org/officeDocument/2006/relationships/hyperlink" Target="consultantplus://offline/ref=6B302410F99CA5D09EF50A5742A26DB8DD8C16257121BBAF7BFC8CBBA589102B6A7E0758B25F126015287Eo46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02410F99CA5D09EF50A5742A26DB8DD8C16257126B9A67DFC8CBBA589102B6A7E0758B25F1264152E7Do467G" TargetMode="External"/><Relationship Id="rId11" Type="http://schemas.openxmlformats.org/officeDocument/2006/relationships/hyperlink" Target="consultantplus://offline/ref=6B302410F99CA5D09EF50A5742A26DB8DD8C16257121BEAF7EFC8CBBA589102B6A7E0758B25F1264152E7Do469G" TargetMode="External"/><Relationship Id="rId24" Type="http://schemas.openxmlformats.org/officeDocument/2006/relationships/hyperlink" Target="consultantplus://offline/ref=6B302410F99CA5D09EF50A5742A26DB8DD8C16257121BBAF7BFC8CBBA589102B6A7E0758B25F12661C267Fo464G" TargetMode="External"/><Relationship Id="rId32" Type="http://schemas.openxmlformats.org/officeDocument/2006/relationships/hyperlink" Target="consultantplus://offline/ref=6B302410F99CA5D09EF50A5742A26DB8DD8C16257121BBAF7BFC8CBBA589102B6A7E0758B25F1260162C7Fo460G" TargetMode="External"/><Relationship Id="rId5" Type="http://schemas.openxmlformats.org/officeDocument/2006/relationships/hyperlink" Target="consultantplus://offline/ref=6B302410F99CA5D09EF50A5742A26DB8DD8C16257125BAA07DFC8CBBA589102B6A7E0758B25F1264152E7Do467G" TargetMode="External"/><Relationship Id="rId15" Type="http://schemas.openxmlformats.org/officeDocument/2006/relationships/hyperlink" Target="consultantplus://offline/ref=6B302410F99CA5D09EF50A5742A26DB8DD8C16257121BBAF7BFC8CBBA589102B6A7E0758B25F1267162D75o467G" TargetMode="External"/><Relationship Id="rId23" Type="http://schemas.openxmlformats.org/officeDocument/2006/relationships/hyperlink" Target="consultantplus://offline/ref=6B302410F99CA5D09EF50A5742A26DB8DD8C16257121BBAF7BFC8CBBA589102B6A7E0758B25F1266122E7Ao462G" TargetMode="External"/><Relationship Id="rId28" Type="http://schemas.openxmlformats.org/officeDocument/2006/relationships/hyperlink" Target="consultantplus://offline/ref=6B302410F99CA5D09EF50A5742A26DB8DD8C16257121BBAF7BFC8CBBA589102B6A7E0758B25F12671D2B79o466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B302410F99CA5D09EF50A5742A26DB8DD8C16257121BEAF7EFC8CBBA589102B6A7E0758B25F1264152E7Do467G" TargetMode="External"/><Relationship Id="rId19" Type="http://schemas.openxmlformats.org/officeDocument/2006/relationships/hyperlink" Target="consultantplus://offline/ref=6B302410F99CA5D09EF50A5742A26DB8DD8C16257121BBAF7BFC8CBBA589102B6A7E0758B25F1260142E7Eo468G" TargetMode="External"/><Relationship Id="rId31" Type="http://schemas.openxmlformats.org/officeDocument/2006/relationships/hyperlink" Target="consultantplus://offline/ref=6B302410F99CA5D09EF50A5742A26DB8DD8C16257121BBAF7BFC8CBBA589102B6A7E0758B25F1260142A78o467G" TargetMode="External"/><Relationship Id="rId4" Type="http://schemas.openxmlformats.org/officeDocument/2006/relationships/hyperlink" Target="consultantplus://offline/ref=6B302410F99CA5D09EF50A5742A26DB8DD8C16257125BBA67AFC8CBBA589102B6A7E0758B25F1264152E7Do468G" TargetMode="External"/><Relationship Id="rId9" Type="http://schemas.openxmlformats.org/officeDocument/2006/relationships/hyperlink" Target="consultantplus://offline/ref=6B302410F99CA5D09EF50A5742A26DB8DD8C16257120BEA27EFC8CBBA589102B6A7E0758B25F1264152E7Do467G" TargetMode="External"/><Relationship Id="rId14" Type="http://schemas.openxmlformats.org/officeDocument/2006/relationships/hyperlink" Target="consultantplus://offline/ref=6B302410F99CA5D09EF50A5742A26DB8DD8C16257121BBAF7BFC8CBBA589102B6A7E0758B25F1267172D78o466G" TargetMode="External"/><Relationship Id="rId22" Type="http://schemas.openxmlformats.org/officeDocument/2006/relationships/hyperlink" Target="consultantplus://offline/ref=6B302410F99CA5D09EF50A5742A26DB8DD8C16257121BEAF7EFC8CBBA589102B6A7E0758B25F1264152E7Co462G" TargetMode="External"/><Relationship Id="rId27" Type="http://schemas.openxmlformats.org/officeDocument/2006/relationships/hyperlink" Target="consultantplus://offline/ref=6B302410F99CA5D09EF50A5742A26DB8DD8C16257121BBAF7BFC8CBBA589102B6A7E0758B25F1267132F79o460G" TargetMode="External"/><Relationship Id="rId30" Type="http://schemas.openxmlformats.org/officeDocument/2006/relationships/hyperlink" Target="consultantplus://offline/ref=6B302410F99CA5D09EF50A5742A26DB8DD8C16257121BBAF7BFC8CBBA589102B6A7E0758B25F1260142E7Eo468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4518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2</cp:revision>
  <dcterms:created xsi:type="dcterms:W3CDTF">2014-10-22T22:16:00Z</dcterms:created>
  <dcterms:modified xsi:type="dcterms:W3CDTF">2015-10-30T06:59:00Z</dcterms:modified>
</cp:coreProperties>
</file>