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8D8" w:rsidRDefault="000C28D8">
      <w:pPr>
        <w:pStyle w:val="1"/>
      </w:pPr>
      <w:r>
        <w:fldChar w:fldCharType="begin"/>
      </w:r>
      <w:r>
        <w:instrText>HYPERLINK "garantF1://26844005.0"</w:instrText>
      </w:r>
      <w:r>
        <w:fldChar w:fldCharType="separate"/>
      </w:r>
      <w:r>
        <w:rPr>
          <w:rStyle w:val="a3"/>
          <w:b w:val="0"/>
          <w:bCs w:val="0"/>
        </w:rPr>
        <w:t>Постановление Правительства Магаданской области от 26 декабря 2014 г. N 1106-пп "Об утверждении государственной программы Магаданской области "Улучшение условий и охраны труда в Магаданской области" на 2015 - 2020 годы" (с изменениями и дополнениями)</w:t>
      </w:r>
      <w:r>
        <w:fldChar w:fldCharType="end"/>
      </w:r>
    </w:p>
    <w:p w:rsidR="000C28D8" w:rsidRDefault="000C28D8">
      <w:pPr>
        <w:pStyle w:val="1"/>
      </w:pPr>
      <w:r>
        <w:t>Государственная программа Магаданской области</w:t>
      </w:r>
      <w:r>
        <w:br/>
        <w:t>"Улучшение условий и охраны труда в Магаданской области"</w:t>
      </w:r>
      <w:r>
        <w:br/>
        <w:t>на 2015 - 2020 годы"</w:t>
      </w:r>
      <w:r>
        <w:br/>
        <w:t xml:space="preserve">(утв. </w:t>
      </w:r>
      <w:hyperlink w:anchor="sub_0" w:history="1">
        <w:r>
          <w:rPr>
            <w:rStyle w:val="a3"/>
            <w:b w:val="0"/>
            <w:bCs w:val="0"/>
          </w:rPr>
          <w:t>постановлением</w:t>
        </w:r>
      </w:hyperlink>
      <w:r>
        <w:t xml:space="preserve"> Правительства Магаданской области</w:t>
      </w:r>
      <w:r>
        <w:br/>
        <w:t>от 26 декабря 2014 г. N 1106-пп)</w:t>
      </w:r>
    </w:p>
    <w:p w:rsidR="000C28D8" w:rsidRDefault="000C28D8">
      <w:pPr>
        <w:pStyle w:val="a8"/>
      </w:pPr>
      <w:r>
        <w:t>С изменениями и дополнениями от:</w:t>
      </w:r>
    </w:p>
    <w:p w:rsidR="000C28D8" w:rsidRDefault="000C28D8">
      <w:pPr>
        <w:pStyle w:val="a4"/>
      </w:pPr>
      <w:r>
        <w:t>12 марта 2015 г.</w:t>
      </w:r>
    </w:p>
    <w:p w:rsidR="000C28D8" w:rsidRDefault="000C28D8">
      <w:pPr>
        <w:pStyle w:val="a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C28D8" w:rsidRDefault="000C28D8">
      <w:pPr>
        <w:pStyle w:val="a5"/>
      </w:pPr>
      <w:bookmarkStart w:id="0" w:name="sub_527840728"/>
      <w:r>
        <w:t xml:space="preserve">См. </w:t>
      </w:r>
      <w:hyperlink r:id="rId4" w:history="1">
        <w:r>
          <w:rPr>
            <w:rStyle w:val="a3"/>
          </w:rPr>
          <w:t>План</w:t>
        </w:r>
      </w:hyperlink>
      <w:r>
        <w:t xml:space="preserve"> реализации настоящей программы, утв. </w:t>
      </w:r>
      <w:hyperlink r:id="rId5" w:history="1">
        <w:r>
          <w:rPr>
            <w:rStyle w:val="a3"/>
          </w:rPr>
          <w:t>Постановлением</w:t>
        </w:r>
      </w:hyperlink>
      <w:r>
        <w:t xml:space="preserve"> Правительства Магаданской области от 12 марта 2015 г. N 172-пп</w:t>
      </w:r>
    </w:p>
    <w:bookmarkEnd w:id="0"/>
    <w:p w:rsidR="000C28D8" w:rsidRDefault="000C28D8">
      <w:pPr>
        <w:pStyle w:val="a5"/>
      </w:pPr>
    </w:p>
    <w:p w:rsidR="000C28D8" w:rsidRDefault="000C28D8">
      <w:pPr>
        <w:pStyle w:val="a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1" w:name="sub_527815052"/>
    <w:p w:rsidR="000C28D8" w:rsidRDefault="000C28D8">
      <w:pPr>
        <w:pStyle w:val="a6"/>
      </w:pPr>
      <w:r>
        <w:fldChar w:fldCharType="begin"/>
      </w:r>
      <w:r>
        <w:instrText>HYPERLINK "garantF1://26854727.10"</w:instrText>
      </w:r>
      <w:r>
        <w:fldChar w:fldCharType="separate"/>
      </w:r>
      <w:r>
        <w:rPr>
          <w:rStyle w:val="a3"/>
        </w:rPr>
        <w:t>Постановлением</w:t>
      </w:r>
      <w:r>
        <w:fldChar w:fldCharType="end"/>
      </w:r>
      <w:r>
        <w:t xml:space="preserve"> Правительства Магаданской области от 12 марта 2015 г. N 171-пп в паспорт настоящей Программы внесены изменения</w:t>
      </w:r>
    </w:p>
    <w:bookmarkEnd w:id="1"/>
    <w:p w:rsidR="000C28D8" w:rsidRDefault="000C28D8">
      <w:pPr>
        <w:pStyle w:val="a6"/>
      </w:pPr>
      <w:r>
        <w:fldChar w:fldCharType="begin"/>
      </w:r>
      <w:r>
        <w:instrText>HYPERLINK "garantF1://26844518.10"</w:instrText>
      </w:r>
      <w:r>
        <w:fldChar w:fldCharType="separate"/>
      </w:r>
      <w:r>
        <w:rPr>
          <w:rStyle w:val="a3"/>
        </w:rPr>
        <w:t>См. текст паспорта в предыдущей редакции</w:t>
      </w:r>
      <w:r>
        <w:fldChar w:fldCharType="end"/>
      </w:r>
    </w:p>
    <w:p w:rsidR="000C28D8" w:rsidRDefault="000C28D8">
      <w:pPr>
        <w:pStyle w:val="1"/>
      </w:pPr>
      <w:r>
        <w:t>Паспорт государственной программы Магаданской области</w:t>
      </w:r>
      <w:r>
        <w:br/>
        <w:t>"Улучшение условий и охраны труда в Магаданской области"</w:t>
      </w:r>
      <w:r>
        <w:br/>
        <w:t>на 2015 - 2020 годы"</w:t>
      </w:r>
    </w:p>
    <w:p w:rsidR="000C28D8" w:rsidRDefault="000C28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000"/>
      </w:tblGrid>
      <w:tr w:rsidR="000C28D8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8" w:rsidRDefault="000C28D8">
            <w:pPr>
              <w:pStyle w:val="a7"/>
            </w:pPr>
            <w:r>
              <w:t>Наименование государственной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D8" w:rsidRDefault="000C28D8">
            <w:pPr>
              <w:pStyle w:val="a7"/>
            </w:pPr>
            <w:r>
              <w:t>государственная программа Магаданской области "Улучшение условий и охраны труда в Магаданской области" на 2015 - 2020 годы" (далее государственная программа)</w:t>
            </w:r>
          </w:p>
        </w:tc>
      </w:tr>
      <w:tr w:rsidR="000C28D8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8" w:rsidRDefault="000C28D8">
            <w:pPr>
              <w:pStyle w:val="a7"/>
            </w:pPr>
            <w:r>
              <w:t>Цели государственной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D8" w:rsidRDefault="000C28D8">
            <w:pPr>
              <w:pStyle w:val="a7"/>
            </w:pPr>
            <w:r>
              <w:t>улучшение условий и охраны труда у работодателей, расположенных на территории Магаданской области, предупреждение и снижение производственного травматизма и профессиональной заболеваемости</w:t>
            </w:r>
          </w:p>
        </w:tc>
      </w:tr>
      <w:tr w:rsidR="000C28D8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8" w:rsidRDefault="000C28D8">
            <w:pPr>
              <w:pStyle w:val="a7"/>
            </w:pPr>
            <w:r>
              <w:t>Задачи государственной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D8" w:rsidRDefault="000C28D8">
            <w:pPr>
              <w:pStyle w:val="a7"/>
            </w:pPr>
            <w:r>
              <w:t>1. Обеспечение оценки условий труда работников и получения работниками объективной информации о состоянии условий и охраны труда на рабочих местах.</w:t>
            </w:r>
          </w:p>
          <w:p w:rsidR="000C28D8" w:rsidRDefault="000C28D8">
            <w:pPr>
              <w:pStyle w:val="a7"/>
            </w:pPr>
            <w:r>
              <w:t>2. 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заболеваемости, включая совершенствование лечебно-профилактического обслуживания и обеспечение современными высокотехнологическими средствами индивидуальной и коллективной защиты работающего населения.</w:t>
            </w:r>
          </w:p>
          <w:p w:rsidR="000C28D8" w:rsidRDefault="000C28D8">
            <w:pPr>
              <w:pStyle w:val="a7"/>
            </w:pPr>
            <w:r>
              <w:t>3. Обеспечение непрерывной подготовки работников по охране труда на основе современных технологий обучения.</w:t>
            </w:r>
          </w:p>
          <w:p w:rsidR="000C28D8" w:rsidRDefault="000C28D8">
            <w:pPr>
              <w:pStyle w:val="a7"/>
            </w:pPr>
            <w:r>
              <w:t>4. Содействие внедрению современной высокотехнологичной продукции и технологий, способствующих улучшению условий и охраны труда.</w:t>
            </w:r>
          </w:p>
          <w:p w:rsidR="000C28D8" w:rsidRDefault="000C28D8">
            <w:pPr>
              <w:pStyle w:val="a7"/>
            </w:pPr>
            <w:r>
              <w:t xml:space="preserve">5. Совершенствование нормативно-правовой базы </w:t>
            </w:r>
            <w:r>
              <w:lastRenderedPageBreak/>
              <w:t>Магаданской области в области охраны труда.</w:t>
            </w:r>
          </w:p>
          <w:p w:rsidR="000C28D8" w:rsidRDefault="000C28D8">
            <w:pPr>
              <w:pStyle w:val="a7"/>
            </w:pPr>
            <w:r>
              <w:t>6. Информационное обеспечение и пропаганда охраны труда.</w:t>
            </w:r>
          </w:p>
        </w:tc>
      </w:tr>
      <w:tr w:rsidR="000C28D8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8" w:rsidRDefault="000C28D8">
            <w:pPr>
              <w:pStyle w:val="a7"/>
            </w:pPr>
            <w:r>
              <w:lastRenderedPageBreak/>
              <w:t>Ответственный исполнитель государственной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D8" w:rsidRDefault="000C28D8">
            <w:pPr>
              <w:pStyle w:val="a7"/>
            </w:pPr>
            <w:r>
              <w:t>министерство труда и социальной политики Магаданской области</w:t>
            </w:r>
          </w:p>
        </w:tc>
      </w:tr>
      <w:tr w:rsidR="000C28D8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8" w:rsidRDefault="000C28D8">
            <w:pPr>
              <w:pStyle w:val="a7"/>
            </w:pPr>
            <w:r>
              <w:t>Соисполнители государственной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D8" w:rsidRDefault="000C28D8">
            <w:pPr>
              <w:pStyle w:val="a7"/>
            </w:pPr>
            <w:r>
              <w:t>не предусмотрено</w:t>
            </w:r>
          </w:p>
        </w:tc>
      </w:tr>
      <w:tr w:rsidR="000C28D8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8" w:rsidRDefault="000C28D8">
            <w:pPr>
              <w:pStyle w:val="a7"/>
            </w:pPr>
            <w:bookmarkStart w:id="2" w:name="sub_10001"/>
            <w:r>
              <w:t>Участники государственной программы</w:t>
            </w:r>
            <w:bookmarkEnd w:id="2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D8" w:rsidRDefault="000C28D8">
            <w:pPr>
              <w:pStyle w:val="a7"/>
            </w:pPr>
            <w:r>
              <w:t>- министерство образования и молодежной политики Магаданской области;</w:t>
            </w:r>
          </w:p>
          <w:p w:rsidR="000C28D8" w:rsidRDefault="000C28D8">
            <w:pPr>
              <w:pStyle w:val="a7"/>
            </w:pPr>
            <w:r>
              <w:t>- министерство культуры и туризма Магаданской области;</w:t>
            </w:r>
          </w:p>
          <w:p w:rsidR="000C28D8" w:rsidRDefault="000C28D8">
            <w:pPr>
              <w:pStyle w:val="a7"/>
            </w:pPr>
            <w:r>
              <w:t>- организации, осуществляющие функции по проведению обучения работодателей и работников вопросам охраны труда, имеющие аккредитации (далее - обучающие организации) (по согласованию);</w:t>
            </w:r>
          </w:p>
          <w:p w:rsidR="000C28D8" w:rsidRDefault="000C28D8">
            <w:pPr>
              <w:pStyle w:val="a7"/>
            </w:pPr>
            <w:r>
              <w:t>- общественная организация "Объединение организаций профсоюзов Магаданской области (по согласованию);</w:t>
            </w:r>
          </w:p>
          <w:p w:rsidR="000C28D8" w:rsidRDefault="000C28D8">
            <w:pPr>
              <w:pStyle w:val="a7"/>
            </w:pPr>
            <w:r>
              <w:t>- областные отраслевые и первичные профсоюзные организации (по согласованию);</w:t>
            </w:r>
          </w:p>
          <w:p w:rsidR="000C28D8" w:rsidRDefault="000C28D8">
            <w:pPr>
              <w:pStyle w:val="a7"/>
            </w:pPr>
            <w:r>
              <w:t xml:space="preserve">- </w:t>
            </w:r>
            <w:proofErr w:type="spellStart"/>
            <w:r>
              <w:t>ГУ</w:t>
            </w:r>
            <w:proofErr w:type="spellEnd"/>
            <w:r>
              <w:t xml:space="preserve"> - Магаданское региональное отделение Фонда социального страхования Российской Федерации (далее - </w:t>
            </w:r>
            <w:proofErr w:type="spellStart"/>
            <w:r>
              <w:t>МРО</w:t>
            </w:r>
            <w:proofErr w:type="spellEnd"/>
            <w:r>
              <w:t xml:space="preserve"> </w:t>
            </w:r>
            <w:proofErr w:type="spellStart"/>
            <w:r>
              <w:t>ФСС</w:t>
            </w:r>
            <w:proofErr w:type="spellEnd"/>
            <w:r>
              <w:t>) (по согласованию)</w:t>
            </w:r>
          </w:p>
        </w:tc>
      </w:tr>
      <w:tr w:rsidR="000C28D8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8" w:rsidRDefault="000C28D8">
            <w:pPr>
              <w:pStyle w:val="a7"/>
            </w:pPr>
            <w:r>
              <w:t>Подпрограммы государственной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D8" w:rsidRDefault="000C28D8">
            <w:pPr>
              <w:pStyle w:val="a7"/>
            </w:pPr>
            <w:r>
              <w:t>отсутствуют</w:t>
            </w:r>
          </w:p>
        </w:tc>
      </w:tr>
      <w:tr w:rsidR="000C28D8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8" w:rsidRDefault="000C28D8">
            <w:pPr>
              <w:pStyle w:val="a7"/>
            </w:pPr>
            <w:r>
              <w:t>Целевые показатели государственной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D8" w:rsidRDefault="000C28D8">
            <w:pPr>
              <w:pStyle w:val="a7"/>
            </w:pPr>
            <w:r>
              <w:t>1. Уровень производственного травматизма и профессиональной заболеваемости:</w:t>
            </w:r>
          </w:p>
          <w:p w:rsidR="000C28D8" w:rsidRDefault="000C28D8">
            <w:pPr>
              <w:pStyle w:val="a7"/>
            </w:pPr>
            <w:r>
              <w:t>Численность пострадавших в результате несчастных случаев на производстве со смертельным исходом. Численность пострадавших в результате несчастных случаев на производстве с утратой трудоспособности на 1 рабочий день и более.</w:t>
            </w:r>
          </w:p>
          <w:p w:rsidR="000C28D8" w:rsidRDefault="000C28D8">
            <w:pPr>
              <w:pStyle w:val="a7"/>
            </w:pPr>
            <w:r>
              <w:t>Количество дней временной нетрудоспособности в связи с несчастным случаем на производстве в расчете на 1 пострадавшего.</w:t>
            </w:r>
          </w:p>
          <w:p w:rsidR="000C28D8" w:rsidRDefault="000C28D8">
            <w:pPr>
              <w:pStyle w:val="a7"/>
            </w:pPr>
            <w: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осмотров.</w:t>
            </w:r>
          </w:p>
          <w:p w:rsidR="000C28D8" w:rsidRDefault="000C28D8">
            <w:pPr>
              <w:pStyle w:val="a7"/>
            </w:pPr>
            <w:r>
              <w:t>2. Динамика оценки условий труда:</w:t>
            </w:r>
          </w:p>
          <w:p w:rsidR="000C28D8" w:rsidRDefault="000C28D8">
            <w:pPr>
              <w:pStyle w:val="a7"/>
            </w:pPr>
            <w:r>
              <w:t xml:space="preserve">Количество рабочих мест, на которых проведена специальная оценка условий </w:t>
            </w:r>
            <w:proofErr w:type="gramStart"/>
            <w:r>
              <w:t>труда.</w:t>
            </w:r>
            <w:hyperlink w:anchor="sub_1111" w:history="1">
              <w:r>
                <w:rPr>
                  <w:rStyle w:val="a3"/>
                </w:rPr>
                <w:t>*</w:t>
              </w:r>
              <w:proofErr w:type="gramEnd"/>
            </w:hyperlink>
          </w:p>
          <w:p w:rsidR="000C28D8" w:rsidRDefault="000C28D8">
            <w:pPr>
              <w:pStyle w:val="a7"/>
            </w:pPr>
            <w:r>
              <w:t xml:space="preserve">Удельный вес рабочих мест, на которых проведена специальная оценка условий труда, в общем количестве рабочих </w:t>
            </w:r>
            <w:proofErr w:type="gramStart"/>
            <w:r>
              <w:t>мест.</w:t>
            </w:r>
            <w:hyperlink w:anchor="sub_1111" w:history="1">
              <w:r>
                <w:rPr>
                  <w:rStyle w:val="a3"/>
                </w:rPr>
                <w:t>*</w:t>
              </w:r>
              <w:proofErr w:type="gramEnd"/>
            </w:hyperlink>
          </w:p>
          <w:p w:rsidR="000C28D8" w:rsidRDefault="000C28D8">
            <w:pPr>
              <w:pStyle w:val="a7"/>
            </w:pPr>
            <w:r>
              <w:t>Количество рабочих мест, на которых улучшены условия труда по результатам специальной оценки условий труда.</w:t>
            </w:r>
          </w:p>
          <w:p w:rsidR="000C28D8" w:rsidRDefault="000C28D8">
            <w:pPr>
              <w:pStyle w:val="a7"/>
            </w:pPr>
            <w:r>
              <w:t>Количество рабочих мест, прошедших государственную экспертизу качества проведения специальной оценки условий труда).</w:t>
            </w:r>
          </w:p>
          <w:p w:rsidR="000C28D8" w:rsidRDefault="000C28D8">
            <w:pPr>
              <w:pStyle w:val="a7"/>
            </w:pPr>
            <w:r>
              <w:lastRenderedPageBreak/>
              <w:t>3. Условия труда:</w:t>
            </w:r>
          </w:p>
          <w:p w:rsidR="000C28D8" w:rsidRDefault="000C28D8">
            <w:pPr>
              <w:pStyle w:val="a7"/>
            </w:pPr>
            <w:r>
              <w:t>3.1. Численность работников, занятых во вредных и (или) опасных условиях труда.</w:t>
            </w:r>
          </w:p>
          <w:p w:rsidR="000C28D8" w:rsidRDefault="000C28D8">
            <w:pPr>
              <w:pStyle w:val="a7"/>
            </w:pPr>
            <w:r>
              <w:t>3.2. Удельный вес работников, занятых во вредных и (или) опасных условиях труда от общей численности работников</w:t>
            </w:r>
          </w:p>
        </w:tc>
      </w:tr>
      <w:tr w:rsidR="000C28D8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8" w:rsidRDefault="000C28D8">
            <w:pPr>
              <w:pStyle w:val="a7"/>
            </w:pPr>
            <w:r>
              <w:lastRenderedPageBreak/>
              <w:t>Сроки и этапы реализации государственной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D8" w:rsidRDefault="000C28D8">
            <w:pPr>
              <w:pStyle w:val="a7"/>
            </w:pPr>
            <w:r>
              <w:t>2015 - 2020 гг.</w:t>
            </w:r>
          </w:p>
        </w:tc>
      </w:tr>
      <w:tr w:rsidR="000C28D8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8" w:rsidRDefault="000C28D8">
            <w:pPr>
              <w:pStyle w:val="a7"/>
            </w:pPr>
            <w:bookmarkStart w:id="3" w:name="sub_10002"/>
            <w:r>
              <w:t>Ресурсное обеспечение государственной программы</w:t>
            </w:r>
            <w:bookmarkEnd w:id="3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D8" w:rsidRDefault="000C28D8">
            <w:pPr>
              <w:pStyle w:val="a7"/>
            </w:pPr>
            <w:r>
              <w:t>общий объем финансирования государственной программы составляет 245 694,1 тыс. рублей, в том числе:</w:t>
            </w:r>
          </w:p>
          <w:p w:rsidR="000C28D8" w:rsidRDefault="000C28D8">
            <w:pPr>
              <w:pStyle w:val="a7"/>
            </w:pPr>
            <w:r>
              <w:t>- за счет средств областного бюджета 5388,0 тыс. рублей;</w:t>
            </w:r>
          </w:p>
          <w:p w:rsidR="000C28D8" w:rsidRDefault="000C28D8">
            <w:pPr>
              <w:pStyle w:val="a7"/>
            </w:pPr>
            <w:r>
              <w:t>- за счет средств внебюджетных источников - 240306,1 тыс. рублей.</w:t>
            </w:r>
          </w:p>
          <w:p w:rsidR="000C28D8" w:rsidRDefault="000C28D8">
            <w:pPr>
              <w:pStyle w:val="a7"/>
            </w:pPr>
            <w:r>
              <w:t>Объем финансирования государственной программы по годам составляет:</w:t>
            </w:r>
          </w:p>
          <w:p w:rsidR="000C28D8" w:rsidRDefault="000C28D8">
            <w:pPr>
              <w:pStyle w:val="a7"/>
            </w:pPr>
            <w:r>
              <w:t>- в 2015 году - 39 899,3 тыс. рублей, в том числе: за счет средств областного бюджета 521,7 тыс. рублей;</w:t>
            </w:r>
          </w:p>
          <w:p w:rsidR="000C28D8" w:rsidRDefault="000C28D8">
            <w:pPr>
              <w:pStyle w:val="a7"/>
            </w:pPr>
            <w:r>
              <w:t>за счет средств внебюджетных источников - 39 377,6 тыс. рублей;</w:t>
            </w:r>
          </w:p>
          <w:p w:rsidR="000C28D8" w:rsidRDefault="000C28D8">
            <w:pPr>
              <w:pStyle w:val="a7"/>
            </w:pPr>
            <w:r>
              <w:t>- в 2016 году - 40 787,6 тыс. рублей, в том числе: за счет средств областного бюджета 601,9 тыс. рублей;</w:t>
            </w:r>
          </w:p>
          <w:p w:rsidR="000C28D8" w:rsidRDefault="000C28D8">
            <w:pPr>
              <w:pStyle w:val="a7"/>
            </w:pPr>
            <w:r>
              <w:t>за счет средств внебюджетных источников - 40185,7 тыс. рублей;</w:t>
            </w:r>
          </w:p>
          <w:p w:rsidR="000C28D8" w:rsidRDefault="000C28D8">
            <w:pPr>
              <w:pStyle w:val="a7"/>
            </w:pPr>
            <w:r>
              <w:t>- в 2017 году - 40787,6 тыс. рублей, в том числе: за счет средств областного бюджета 601,9 тыс. рублей;</w:t>
            </w:r>
          </w:p>
          <w:p w:rsidR="000C28D8" w:rsidRDefault="000C28D8">
            <w:pPr>
              <w:pStyle w:val="a7"/>
            </w:pPr>
            <w:r>
              <w:t>за счет средств внебюджетных источников 40 185,7 тыс. рублей;</w:t>
            </w:r>
          </w:p>
          <w:p w:rsidR="000C28D8" w:rsidRDefault="000C28D8">
            <w:pPr>
              <w:pStyle w:val="a7"/>
            </w:pPr>
            <w:r>
              <w:t>- в 2018 году - 41 422,7 тыс. рублей, в том числе: за счет средств областного бюджета 1 237 тыс. рублей;</w:t>
            </w:r>
          </w:p>
          <w:p w:rsidR="000C28D8" w:rsidRDefault="000C28D8">
            <w:pPr>
              <w:pStyle w:val="a7"/>
            </w:pPr>
            <w:r>
              <w:t>за счет средств внебюджетных источников - 40185,7 тыс. рублей;</w:t>
            </w:r>
          </w:p>
          <w:p w:rsidR="000C28D8" w:rsidRDefault="000C28D8">
            <w:pPr>
              <w:pStyle w:val="a7"/>
            </w:pPr>
            <w:r>
              <w:t>- в 2019 году - 41 367,7 тыс. рублей, в том числе: за счет средств областного бюджета 1182 тыс. рублей;</w:t>
            </w:r>
          </w:p>
          <w:p w:rsidR="000C28D8" w:rsidRDefault="000C28D8">
            <w:pPr>
              <w:pStyle w:val="a7"/>
            </w:pPr>
            <w:r>
              <w:t>за счет средств внебюджетных источников - 40185,7 тыс. рублей;</w:t>
            </w:r>
          </w:p>
          <w:p w:rsidR="000C28D8" w:rsidRDefault="000C28D8">
            <w:pPr>
              <w:pStyle w:val="a7"/>
            </w:pPr>
            <w:r>
              <w:t>- в 2020 году - 41 429,2 тыс. рублей, в том числе: за счет средств областного бюджета 1 243,5 тыс. рублей;</w:t>
            </w:r>
          </w:p>
          <w:p w:rsidR="000C28D8" w:rsidRDefault="000C28D8">
            <w:pPr>
              <w:pStyle w:val="a7"/>
            </w:pPr>
            <w:r>
              <w:t>за счет средств внебюджетных источников - 40 185,7 тыс. рублей</w:t>
            </w:r>
          </w:p>
        </w:tc>
      </w:tr>
      <w:tr w:rsidR="000C28D8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8" w:rsidRDefault="000C28D8">
            <w:pPr>
              <w:pStyle w:val="a7"/>
            </w:pPr>
            <w:r>
              <w:t>Ожидаемые результаты реализации государственной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D8" w:rsidRDefault="000C28D8">
            <w:pPr>
              <w:pStyle w:val="a7"/>
            </w:pPr>
            <w:r>
              <w:t>- снижение (стабилизация) количества пострадавших от несчастных случаев на производстве (в том числе со смертельным исходом);</w:t>
            </w:r>
          </w:p>
          <w:p w:rsidR="000C28D8" w:rsidRDefault="000C28D8">
            <w:pPr>
              <w:pStyle w:val="a7"/>
            </w:pPr>
            <w:r>
              <w:t>- снижение (стабилизация) численности работников, занятых в условиях, не отвечающих действующим санитарно-гигиеническим нормативам;</w:t>
            </w:r>
          </w:p>
          <w:p w:rsidR="000C28D8" w:rsidRDefault="000C28D8">
            <w:pPr>
              <w:pStyle w:val="a7"/>
            </w:pPr>
            <w:r>
              <w:t>- снижение (стабилизация) показателя профессиональной заболеваемости работников, занятых на работах с вредными и (или) опасными условиями труда;</w:t>
            </w:r>
          </w:p>
          <w:p w:rsidR="000C28D8" w:rsidRDefault="000C28D8">
            <w:pPr>
              <w:pStyle w:val="a7"/>
            </w:pPr>
            <w:r>
              <w:t>- увеличение количества рабочих мест, в отношении которых проведена специальная оценка условий труда;</w:t>
            </w:r>
          </w:p>
          <w:p w:rsidR="000C28D8" w:rsidRDefault="000C28D8">
            <w:pPr>
              <w:pStyle w:val="a7"/>
            </w:pPr>
            <w:r>
              <w:t xml:space="preserve">- увеличение количества страхователей, которые </w:t>
            </w:r>
            <w:r>
              <w:lastRenderedPageBreak/>
              <w:t>использовали суммы страховых взносов на финансовое обеспечение предупредительных мер по сокращению производственного травматизма и профзаболеваний;</w:t>
            </w:r>
          </w:p>
          <w:p w:rsidR="000C28D8" w:rsidRDefault="000C28D8">
            <w:pPr>
              <w:pStyle w:val="a7"/>
            </w:pPr>
            <w:r>
              <w:t>- увеличение количества обученных по охране труда</w:t>
            </w:r>
          </w:p>
        </w:tc>
      </w:tr>
    </w:tbl>
    <w:p w:rsidR="000C28D8" w:rsidRDefault="000C28D8">
      <w:bookmarkStart w:id="4" w:name="_GoBack"/>
      <w:bookmarkEnd w:id="4"/>
    </w:p>
    <w:sectPr w:rsidR="000C28D8" w:rsidSect="000A07DD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DD"/>
    <w:rsid w:val="000A07DD"/>
    <w:rsid w:val="000C28D8"/>
    <w:rsid w:val="00350105"/>
    <w:rsid w:val="00D4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24044-433F-4E2F-83C8-1269D11E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28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28D8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C28D8"/>
    <w:rPr>
      <w:color w:val="008000"/>
    </w:rPr>
  </w:style>
  <w:style w:type="paragraph" w:customStyle="1" w:styleId="a4">
    <w:name w:val="Информация об изменениях"/>
    <w:basedOn w:val="a"/>
    <w:next w:val="a"/>
    <w:uiPriority w:val="99"/>
    <w:rsid w:val="000C28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sz w:val="20"/>
      <w:szCs w:val="20"/>
      <w:shd w:val="clear" w:color="auto" w:fill="EAEFED"/>
      <w:lang w:eastAsia="ru-RU"/>
    </w:rPr>
  </w:style>
  <w:style w:type="paragraph" w:customStyle="1" w:styleId="a5">
    <w:name w:val="Комментарий"/>
    <w:basedOn w:val="a"/>
    <w:next w:val="a"/>
    <w:uiPriority w:val="99"/>
    <w:rsid w:val="000C28D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i/>
      <w:iCs/>
      <w:color w:val="800080"/>
      <w:sz w:val="24"/>
      <w:szCs w:val="24"/>
      <w:lang w:eastAsia="ru-RU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0C28D8"/>
    <w:rPr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0C28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0C28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6844492.0" TargetMode="External"/><Relationship Id="rId4" Type="http://schemas.openxmlformats.org/officeDocument/2006/relationships/hyperlink" Target="garantF1://26844492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Сигитова</dc:creator>
  <cp:lastModifiedBy>Сигитова Елена Сергеевна</cp:lastModifiedBy>
  <cp:revision>2</cp:revision>
  <dcterms:created xsi:type="dcterms:W3CDTF">2014-10-22T22:03:00Z</dcterms:created>
  <dcterms:modified xsi:type="dcterms:W3CDTF">2015-10-30T06:45:00Z</dcterms:modified>
</cp:coreProperties>
</file>