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BA" w:rsidRDefault="006E70BA" w:rsidP="006E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</w:t>
      </w:r>
    </w:p>
    <w:p w:rsidR="006E70BA" w:rsidRDefault="006E70BA" w:rsidP="006E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"ФОРМИРОВАНИЕ ДОСТУПНОЙ СРЕДЫ В МАГАДАНСКОЙ ОБЛАСТИ"</w:t>
      </w:r>
    </w:p>
    <w:p w:rsidR="006E70BA" w:rsidRDefault="006E70BA" w:rsidP="006E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2014-2020 ГОДЫ"</w:t>
      </w:r>
    </w:p>
    <w:p w:rsidR="006E70BA" w:rsidRDefault="006E70BA" w:rsidP="006E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70BA" w:rsidRDefault="006E70BA" w:rsidP="006E70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6E70BA" w:rsidRDefault="006E70BA" w:rsidP="006E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</w:t>
      </w:r>
      <w:r w:rsidRPr="005B4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bookmarkStart w:id="0" w:name="_GoBack"/>
      <w:r>
        <w:rPr>
          <w:rFonts w:ascii="Times New Roman" w:hAnsi="Times New Roman" w:cs="Times New Roman"/>
        </w:rPr>
        <w:t>Формирование доступной среды в Магаданской области</w:t>
      </w:r>
      <w:bookmarkEnd w:id="0"/>
      <w:r>
        <w:rPr>
          <w:rFonts w:ascii="Times New Roman" w:hAnsi="Times New Roman" w:cs="Times New Roman"/>
        </w:rPr>
        <w:t>"</w:t>
      </w:r>
      <w:r w:rsidRPr="005B4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2014-2020 годы"</w:t>
      </w:r>
      <w:r w:rsidRPr="005B4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 ред. </w:t>
      </w:r>
      <w:hyperlink r:id="rId4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Магаданской области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от 13.10.2016 N 803-пп)</w:t>
      </w:r>
    </w:p>
    <w:p w:rsidR="006E70BA" w:rsidRDefault="006E70BA" w:rsidP="006E7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540"/>
      </w:tblGrid>
      <w:tr w:rsidR="006E70BA" w:rsidTr="007007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"Формирование доступной среды в Магаданской области" на 2014-2020 годы" (далее - государственная программа)</w:t>
            </w:r>
          </w:p>
        </w:tc>
      </w:tr>
      <w:tr w:rsidR="006E70BA" w:rsidTr="007007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разработки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Концепция</w:t>
              </w:r>
            </w:hyperlink>
            <w:r>
              <w:rPr>
                <w:rFonts w:ascii="Times New Roman" w:hAnsi="Times New Roman" w:cs="Times New Roman"/>
              </w:rPr>
      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2011-2020 годы";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Министерства труда и социальной защиты Российской Федерации от 6 декабря 2012 г. N 575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Магаданской области от 11 марта 2010 г. N 1241-ОЗ "О Стратегии социального и экономического развития Магаданской области на период до 2025 года";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</w:rPr>
              <w:t xml:space="preserve"> администрации Магаданской области от 22 августа 2013 г. N 792-па "Об утверждении перечня государственных программ Магаданской области";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26 февраля 2014 г. N 151-пп "Об утверждении порядка разработки, реализации и оценки эффективности государственных программ Магаданской области"</w:t>
            </w:r>
          </w:p>
        </w:tc>
      </w:tr>
      <w:tr w:rsidR="006E70BA" w:rsidTr="007007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доступности приоритетных объектов, жилых помещений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Магаданской области</w:t>
            </w:r>
          </w:p>
        </w:tc>
      </w:tr>
      <w:tr w:rsidR="006E70BA" w:rsidTr="007007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формирование условий для просвещенности граждан в вопросах инвалидности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отношенческих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барьеров в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Магаданской области</w:t>
            </w:r>
          </w:p>
        </w:tc>
      </w:tr>
      <w:tr w:rsidR="006E70BA" w:rsidTr="007007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труда и социальной политики Магаданской области</w:t>
            </w:r>
          </w:p>
        </w:tc>
      </w:tr>
      <w:tr w:rsidR="006E70BA" w:rsidTr="007007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E70BA" w:rsidTr="007007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труда и социальной политики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образования и молодежной политики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здравоохранения и демографической политики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министерство культуры и туризма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физической культуры и спорта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органы местного самоуправления (по согласованию)</w:t>
            </w:r>
          </w:p>
        </w:tc>
      </w:tr>
      <w:tr w:rsidR="006E70BA" w:rsidTr="0070073E"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(индикаторы)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доля инвалидов, положительно оценивающих отношение населения к проблемам инвалидов, в общей численности опрошенных инвалидов;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доля детей-инвалидов в возрасте от 5 до 18 лет, получающих дополнительное образование, в общей численности детей-инвалидов данного возраста;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доля образовательных организаций дополнительного образования, в которых создана </w:t>
            </w:r>
            <w:proofErr w:type="spellStart"/>
            <w:r>
              <w:rPr>
                <w:rFonts w:ascii="Times New Roman" w:hAnsi="Times New Roman" w:cs="Times New Roman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доля организаций профессионального образования, в которых сформирована универсальная </w:t>
            </w:r>
            <w:proofErr w:type="spellStart"/>
            <w:r>
              <w:rPr>
                <w:rFonts w:ascii="Times New Roman" w:hAnsi="Times New Roman" w:cs="Times New Roman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организаций профессионального образования;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доля приоритетных объектов органов службы занятости, доступных для инвалидов и других МГН, в общем количестве объектов органов службы занятости;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доля дошкольных 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13) доля общеобразовательных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16) доля приоритетных объектов, доступных для инвалидов и других МГН в сфере культуры, в общем количестве приоритетных объектов в сфере культуры;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 доля парка подвижного состава автомобильного транспорта общего пользования, оборудованного для перевозки инвалидов и других МГН, в парке этого подвижного состава (автобусного);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 доля приоритетных объектов, доступных для инвалидов и других МГН в сфере физической культуры и спорта, в общем количестве приоритетных объектов;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21) доля лиц с ограниченными возможностями здоровья, принявших участие в творческих и культурно-досуговых мероприятиях</w:t>
            </w:r>
          </w:p>
        </w:tc>
      </w:tr>
      <w:tr w:rsidR="006E70BA" w:rsidTr="0070073E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13.02.2017 N 79-пп)</w:t>
            </w:r>
          </w:p>
        </w:tc>
      </w:tr>
      <w:tr w:rsidR="006E70BA" w:rsidTr="007007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 с разбивкой на следующие этапы: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 - 2014-2015 годы;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- 2016-2020 годы</w:t>
            </w:r>
          </w:p>
        </w:tc>
      </w:tr>
      <w:tr w:rsidR="006E70BA" w:rsidTr="0070073E"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составляет 247 270,0 тыс. рублей, из них: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- 41 772,5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- 27 777,5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- 35 655,5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- 77 065,7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- 16 308,5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- 16 297,5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- 32 392,8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средств федерального бюджета - 110 532,0 тыс. рублей, из них: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- 21 832,4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- 12 688,9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- 18 142,6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- 57 868,1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средств областного бюджета - 128 077,0 тыс. рублей, из них: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- 15 338,4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- 12 205,1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- 17 071,4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- 18 463,3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- 16 308,5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- 16 297,5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- 32 392,8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средств местных бюджетов - 8 661,0 тыс. рублей, из них: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- 4 601,7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- 2 883,5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- 441,5 тыс. рублей;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- 734,3 тыс. рублей</w:t>
            </w:r>
          </w:p>
        </w:tc>
      </w:tr>
      <w:tr w:rsidR="006E70BA" w:rsidTr="0070073E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29.06.2017 N 615-пп)</w:t>
            </w:r>
          </w:p>
        </w:tc>
      </w:tr>
      <w:tr w:rsidR="006E70BA" w:rsidTr="007007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увеличение доли инвалидов, положительно оценивающих отношение населения к проблемам инвалидов, в общей численности опрошенных инвалидов субъекта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увеличение доли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увеличение доли детей-инвалидов в возрасте от 5 до 18 лет, получающих дополнительное образование, в общей численности детей-инвалидов данного возраста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увеличение доли образовательных организаций дополнительного образования, в которых создана </w:t>
            </w:r>
            <w:proofErr w:type="spellStart"/>
            <w:r>
              <w:rPr>
                <w:rFonts w:ascii="Times New Roman" w:hAnsi="Times New Roman" w:cs="Times New Roman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увеличение доли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увеличение доли организаций профессионального образования, в которых сформирована универсальная </w:t>
            </w:r>
            <w:proofErr w:type="spellStart"/>
            <w:r>
              <w:rPr>
                <w:rFonts w:ascii="Times New Roman" w:hAnsi="Times New Roman" w:cs="Times New Roman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организаций профессионального образования;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увеличение доли приоритетных объектов органов службы занятости, доступных для инвалидов и других МГН, в общем количестве объектов органов службы занятости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увеличение доли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увеличение доли дошкольных 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увеличение доли детей-инвалидов в возрасте от 1,5 до 7 лет, охваченных дошкольным образованием, в общей численности детей-инвалидов данного возраста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13) увеличение доли общеобразовательных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увеличение доли приоритетных объектов, доступных для инвалидов и других МГН в сфере культуры, в общем количестве приоритетных объектов в сфере культуры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 увеличение доли парка подвижного состава автомобильного транспорта общего пользования, оборудованного для перевозки МГН, в парке этого подвижного состава (автобусного)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увеличение доли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17) увеличение доли лиц с ограниченными возможностями здоровья и инвалидов от 6 до 18 лет, систематически занимающихся физкультурой и </w:t>
            </w:r>
            <w:r>
              <w:rPr>
                <w:rFonts w:ascii="Times New Roman" w:hAnsi="Times New Roman" w:cs="Times New Roman"/>
              </w:rPr>
              <w:lastRenderedPageBreak/>
              <w:t>спортом, в общей численности данной категории населения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 увеличение доли приоритетных объектов, доступных для инвалидов и других МГН в сфере физической культуры и спорта, в общем количестве приоритетных объектов Магаданской области;</w:t>
            </w:r>
          </w:p>
          <w:p w:rsidR="006E70BA" w:rsidRDefault="006E70BA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 увеличение доли лиц с ограниченными возможностями здоровья, принявших участие в творческих и культурно-досуговых мероприятиях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6"/>
    <w:rsid w:val="003D73F6"/>
    <w:rsid w:val="00691036"/>
    <w:rsid w:val="006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8476-C113-49E6-B09E-4A28284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C473312E5004DEEE4018B19659055E8121182B3B33DF2E57EECF36D504E90O8R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FC473312E5004DEEE41F860F09CA5BE3184888BDBD35ADBF21B7AE3AO5R9X" TargetMode="External"/><Relationship Id="rId12" Type="http://schemas.openxmlformats.org/officeDocument/2006/relationships/hyperlink" Target="consultantplus://offline/ref=DCFC473312E5004DEEE4018B19659055E8121182B3B337FCE37EECF36D504E908C931177742F608BCE21DFO8R6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C473312E5004DEEE41F860F09CA5BE31B4F86B3B535ADBF21B7AE3AO5R9X" TargetMode="External"/><Relationship Id="rId11" Type="http://schemas.openxmlformats.org/officeDocument/2006/relationships/hyperlink" Target="consultantplus://offline/ref=DCFC473312E5004DEEE4018B19659055E8121182B3B036FBE17EECF36D504E908C931177742F608BCE21DFO8R6X" TargetMode="External"/><Relationship Id="rId5" Type="http://schemas.openxmlformats.org/officeDocument/2006/relationships/hyperlink" Target="consultantplus://offline/ref=DCFC473312E5004DEEE41F860F09CA5BE3184D87B6B635ADBF21B7AE3A5944C7CBDC48353022618BOCR6X" TargetMode="External"/><Relationship Id="rId10" Type="http://schemas.openxmlformats.org/officeDocument/2006/relationships/hyperlink" Target="consultantplus://offline/ref=DCFC473312E5004DEEE4018B19659055E8121182B3BD36F2E27EECF36D504E90O8RCX" TargetMode="External"/><Relationship Id="rId4" Type="http://schemas.openxmlformats.org/officeDocument/2006/relationships/hyperlink" Target="consultantplus://offline/ref=DCFC473312E5004DEEE4018B19659055E8121182B3B63BFBE27EECF36D504E908C931177742F608BCE21DFO8R8X" TargetMode="External"/><Relationship Id="rId9" Type="http://schemas.openxmlformats.org/officeDocument/2006/relationships/hyperlink" Target="consultantplus://offline/ref=DCFC473312E5004DEEE4018B19659055E8121182B2B43EFBE67EECF36D504E90O8R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11419</Characters>
  <Application>Microsoft Office Word</Application>
  <DocSecurity>0</DocSecurity>
  <Lines>95</Lines>
  <Paragraphs>26</Paragraphs>
  <ScaleCrop>false</ScaleCrop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2017-10-20T05:47:00Z</dcterms:created>
  <dcterms:modified xsi:type="dcterms:W3CDTF">2017-10-20T05:47:00Z</dcterms:modified>
</cp:coreProperties>
</file>