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45" w:rsidRDefault="00CF7C45" w:rsidP="00CF7C45">
      <w:pPr>
        <w:pStyle w:val="1"/>
      </w:pPr>
      <w:r>
        <w:t>Ведомственная целевая программа</w:t>
      </w:r>
      <w:r>
        <w:br/>
        <w:t>"Развитие государственно-правовых институтов Магаданской области</w:t>
      </w:r>
      <w:r>
        <w:br/>
        <w:t>на 2016-2019 годы"</w:t>
      </w:r>
    </w:p>
    <w:p w:rsidR="00CF7C45" w:rsidRDefault="00CF7C45" w:rsidP="00CF7C45">
      <w:pPr>
        <w:pStyle w:val="a7"/>
      </w:pPr>
      <w:r>
        <w:t>С изменениями и дополнениями от:</w:t>
      </w:r>
    </w:p>
    <w:p w:rsidR="00CF7C45" w:rsidRDefault="00CF7C45" w:rsidP="00CF7C45">
      <w:pPr>
        <w:pStyle w:val="a6"/>
        <w:ind w:left="0" w:right="0"/>
      </w:pPr>
      <w:r>
        <w:t>2 сентября 2016 г.</w:t>
      </w:r>
    </w:p>
    <w:p w:rsidR="00CF7C45" w:rsidRDefault="00CF7C45" w:rsidP="00CF7C45"/>
    <w:p w:rsidR="00CF7C45" w:rsidRDefault="00CF7C45" w:rsidP="00CF7C45">
      <w:pPr>
        <w:pStyle w:val="1"/>
      </w:pPr>
      <w:bookmarkStart w:id="0" w:name="sub_1100"/>
      <w:r>
        <w:t>Паспорт</w:t>
      </w:r>
      <w:r>
        <w:br/>
        <w:t>ведомственной целевой программы "Развитие государственно-правовых институтов Магаданской области на 2016 - 2019 годы"</w:t>
      </w:r>
    </w:p>
    <w:bookmarkEnd w:id="0"/>
    <w:p w:rsidR="00CF7C45" w:rsidRDefault="00CF7C45" w:rsidP="00CF7C4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0"/>
        <w:gridCol w:w="6719"/>
      </w:tblGrid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t>Наименование ведомственной целевой программы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развитие государственно-правовых институтов Магаданской области на 2016 - 2019 годы (далее - Программа)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t>Орган исполнительной власти Магаданской области, являющийся главным распорядителем средств областного бюджета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министерство государственно-правового развития Магаданской обл</w:t>
            </w:r>
            <w:bookmarkStart w:id="1" w:name="_GoBack"/>
            <w:bookmarkEnd w:id="1"/>
            <w:r>
              <w:t>асти (далее - МГПР Магаданской области)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t>Должностное лицо, утвердившее программу (дата утверждения)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 xml:space="preserve">заместитель председателя Правительства Магаданской области - министр государственно-правового развития Магаданской области </w:t>
            </w:r>
            <w:proofErr w:type="spellStart"/>
            <w:r>
              <w:t>Шуфер</w:t>
            </w:r>
            <w:proofErr w:type="spellEnd"/>
            <w:r>
              <w:t xml:space="preserve"> Марина Анатольевна, приказ МГПР от 27 октября 2015 г. N 248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t>Цели и задачи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Цель - повышение эффективности и результативности деятельности МГПР Магаданской области и подведомственных учреждений (ОГКУ "Государственный архив Магаданской области", ОГКУ "Государственное юридическое бюро по Магаданской области"), а также обеспечение осуществления переданных федеральных полномочий на государственную регистрацию актов гражданского состояния на территории Магаданской области. Задачи:</w:t>
            </w:r>
          </w:p>
          <w:p w:rsidR="00CF7C45" w:rsidRDefault="00CF7C45" w:rsidP="003F5231">
            <w:pPr>
              <w:pStyle w:val="a5"/>
            </w:pPr>
            <w:r>
              <w:t>1) обеспечение единства правового пространства Магаданской области;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2) обеспечение государственных гарантий и прав граждан на получение бесплатной юридической помощи;</w:t>
            </w:r>
          </w:p>
          <w:p w:rsidR="00CF7C45" w:rsidRDefault="00CF7C45" w:rsidP="003F5231">
            <w:pPr>
              <w:pStyle w:val="a5"/>
            </w:pPr>
            <w:r>
              <w:t>3) повышение уровня материально-технического, организационного и кадрового обеспечения деятельности мировых судей Магаданской области</w:t>
            </w:r>
          </w:p>
          <w:p w:rsidR="00CF7C45" w:rsidRDefault="00CF7C45" w:rsidP="003F5231">
            <w:pPr>
              <w:pStyle w:val="a5"/>
            </w:pPr>
            <w:r>
              <w:t>4) повышение качества организации деятельности по государственной регистрации актов гражданского состояния на территории Магаданской области;</w:t>
            </w:r>
          </w:p>
          <w:p w:rsidR="00CF7C45" w:rsidRDefault="00CF7C45" w:rsidP="003F5231">
            <w:pPr>
              <w:pStyle w:val="a5"/>
            </w:pPr>
            <w:r>
              <w:t>5) повышение эффективности государственного управления архивным делом на территории Магаданской области;</w:t>
            </w:r>
          </w:p>
          <w:p w:rsidR="00CF7C45" w:rsidRDefault="00CF7C45" w:rsidP="003F5231">
            <w:pPr>
              <w:pStyle w:val="a5"/>
            </w:pPr>
            <w:r>
              <w:t>6) повышение эффективности управления материально-техническими ресурсами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t>Целевые индикаторы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 xml:space="preserve">- доля составленных списков кандидатов в присяжные заседатели федеральных судов общей юрисдикции в Российской Федерации к количеству списков, подлежащих </w:t>
            </w:r>
            <w:r>
              <w:lastRenderedPageBreak/>
              <w:t>составлению в соответствии с законодательством Российской Федерации;</w:t>
            </w:r>
          </w:p>
          <w:p w:rsidR="00CF7C45" w:rsidRDefault="00CF7C45" w:rsidP="003F5231">
            <w:pPr>
              <w:pStyle w:val="a5"/>
            </w:pPr>
            <w:r>
              <w:t>- количество отчетов Адвокатской палаты Магаданской области, содержащих сведения о случаях оказания адвокатами, участвующими в деятельности государственной системы бесплатной юридической помощи, бесплатной юридической помощи;</w:t>
            </w:r>
          </w:p>
          <w:p w:rsidR="00CF7C45" w:rsidRDefault="00CF7C45" w:rsidP="003F5231">
            <w:pPr>
              <w:pStyle w:val="a5"/>
            </w:pPr>
            <w:r>
              <w:t>- охват отдельных категорий граждан, услугами бесплатной юридической помощи;</w:t>
            </w:r>
          </w:p>
          <w:p w:rsidR="00CF7C45" w:rsidRDefault="00CF7C45" w:rsidP="003F5231">
            <w:pPr>
              <w:pStyle w:val="a5"/>
            </w:pPr>
            <w:r>
              <w:t>- доля обеспечения органов ЗАГС Магаданской области бланками свидетельств о государственной регистрации актов гражданского состояния, иными необходимыми бланками документов от заявленной потребности;</w:t>
            </w:r>
          </w:p>
          <w:p w:rsidR="00CF7C45" w:rsidRDefault="00CF7C45" w:rsidP="003F5231">
            <w:pPr>
              <w:pStyle w:val="a5"/>
            </w:pPr>
            <w:r>
              <w:t>- количество совершенных юридически значимых действий органами ЗАГС Магаданской области;</w:t>
            </w:r>
          </w:p>
          <w:p w:rsidR="00CF7C45" w:rsidRDefault="00CF7C45" w:rsidP="003F5231">
            <w:pPr>
              <w:pStyle w:val="a5"/>
            </w:pPr>
            <w:r>
              <w:t>- доля обеспеченности залов судебных заседаний мировых судей системой аудио-видео протоколирования;</w:t>
            </w:r>
          </w:p>
          <w:p w:rsidR="00CF7C45" w:rsidRDefault="00CF7C45" w:rsidP="003F5231">
            <w:pPr>
              <w:pStyle w:val="a5"/>
            </w:pPr>
            <w:r>
              <w:t>- доля мировых судей Магаданской области, прошедших профессиональную переподготовку и повышение квалификации, в общем количестве мировых судей Магаданской области, запланированных к прохождению профессиональной переподготовки и повышению квалификации;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- доля муниципальных нормативных правовых актов, включенных в регистр, от общего количества поступивших в МГПР Магаданской области муниципальных правовых актов;</w:t>
            </w:r>
          </w:p>
          <w:p w:rsidR="00CF7C45" w:rsidRDefault="00CF7C45" w:rsidP="003F5231">
            <w:pPr>
              <w:pStyle w:val="a5"/>
            </w:pPr>
            <w:r>
              <w:t>- доля принятых в ОГКУ "ГАМО" документов постоянного хранения к общему объёму документов, подлежащих приёму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t>Характеристика программных мероприятий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- обеспечение выполнения функций государственными органами и находящихся в их ведении государственными учреждениями;</w:t>
            </w:r>
          </w:p>
          <w:p w:rsidR="00CF7C45" w:rsidRDefault="00CF7C45" w:rsidP="003F5231">
            <w:pPr>
              <w:pStyle w:val="a5"/>
            </w:pPr>
            <w:r>
              <w:t>- предоставление отдельным категориям граждан бесплатной юридической помощи;</w:t>
            </w:r>
          </w:p>
          <w:p w:rsidR="00CF7C45" w:rsidRDefault="00CF7C45" w:rsidP="003F5231">
            <w:pPr>
              <w:pStyle w:val="a5"/>
            </w:pPr>
            <w:r>
              <w:t>- субвенции бюджетам на государственную регистрацию актов гражданского состояния;</w:t>
            </w:r>
          </w:p>
          <w:p w:rsidR="00CF7C45" w:rsidRDefault="00CF7C45" w:rsidP="003F5231">
            <w:pPr>
              <w:pStyle w:val="a5"/>
            </w:pPr>
            <w:r>
              <w:t>- обеспечение государственных полномочий по созданию и организации деятельности административных комиссий.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2016 - 2019 годы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bookmarkStart w:id="2" w:name="sub_48"/>
            <w:r>
              <w:rPr>
                <w:rStyle w:val="a3"/>
              </w:rPr>
              <w:t>Объемы и источники финансирования</w:t>
            </w:r>
            <w:bookmarkEnd w:id="2"/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Источниками финансирования программы являются:</w:t>
            </w:r>
          </w:p>
          <w:p w:rsidR="00CF7C45" w:rsidRDefault="00CF7C45" w:rsidP="003F5231">
            <w:pPr>
              <w:pStyle w:val="a5"/>
            </w:pPr>
            <w:r>
              <w:t>- средства федерального бюджета;</w:t>
            </w:r>
          </w:p>
          <w:p w:rsidR="00CF7C45" w:rsidRDefault="00CF7C45" w:rsidP="003F5231">
            <w:pPr>
              <w:pStyle w:val="a5"/>
            </w:pPr>
            <w:r>
              <w:t>- средства областного бюджета.</w:t>
            </w:r>
          </w:p>
          <w:p w:rsidR="00CF7C45" w:rsidRDefault="00CF7C45" w:rsidP="003F5231">
            <w:pPr>
              <w:pStyle w:val="a5"/>
            </w:pPr>
            <w:r>
              <w:t>Общий объем финансирования Программы составляет 897 387,1. рублей, в том числе: 65 454,4 тыс. рублей - субвенция федерального бюджета;</w:t>
            </w:r>
          </w:p>
          <w:p w:rsidR="00CF7C45" w:rsidRDefault="00CF7C45" w:rsidP="003F5231">
            <w:pPr>
              <w:pStyle w:val="a5"/>
            </w:pPr>
            <w:r>
              <w:t>831 932,7 тыс. рублей - средства областного бюджета.</w:t>
            </w:r>
          </w:p>
          <w:p w:rsidR="00CF7C45" w:rsidRDefault="00CF7C45" w:rsidP="003F5231">
            <w:pPr>
              <w:pStyle w:val="a5"/>
            </w:pPr>
            <w:r>
              <w:t>Объем финансирования по годам:</w:t>
            </w:r>
          </w:p>
          <w:p w:rsidR="00CF7C45" w:rsidRDefault="00CF7C45" w:rsidP="003F5231">
            <w:pPr>
              <w:pStyle w:val="a5"/>
            </w:pPr>
            <w:r>
              <w:rPr>
                <w:rStyle w:val="a3"/>
              </w:rPr>
              <w:t>2016 год</w:t>
            </w:r>
            <w:r>
              <w:t xml:space="preserve"> - 211 891,8 тыс. рублей в том числе:</w:t>
            </w:r>
          </w:p>
          <w:p w:rsidR="00CF7C45" w:rsidRDefault="00CF7C45" w:rsidP="003F5231">
            <w:pPr>
              <w:pStyle w:val="a5"/>
            </w:pPr>
            <w:r>
              <w:t>16 363,6 тыс. рублей - субвенция федерального бюджета;</w:t>
            </w:r>
          </w:p>
          <w:p w:rsidR="00CF7C45" w:rsidRDefault="00CF7C45" w:rsidP="003F5231">
            <w:pPr>
              <w:pStyle w:val="a5"/>
            </w:pPr>
            <w:r>
              <w:t>195 528,2 тыс. рублей - средства областного бюджета.</w:t>
            </w:r>
          </w:p>
          <w:p w:rsidR="00CF7C45" w:rsidRDefault="00CF7C45" w:rsidP="003F5231">
            <w:pPr>
              <w:pStyle w:val="a5"/>
            </w:pPr>
            <w:r>
              <w:rPr>
                <w:rStyle w:val="a3"/>
              </w:rPr>
              <w:lastRenderedPageBreak/>
              <w:t>2017 год</w:t>
            </w:r>
            <w:r>
              <w:t xml:space="preserve"> - 226 482,25 тыс. рублей в том числе:</w:t>
            </w:r>
          </w:p>
          <w:p w:rsidR="00CF7C45" w:rsidRDefault="00CF7C45" w:rsidP="003F5231">
            <w:pPr>
              <w:pStyle w:val="a5"/>
            </w:pPr>
            <w:r>
              <w:t>16 363,6 тыс. рублей - субвенция федерального бюджета;</w:t>
            </w:r>
          </w:p>
          <w:p w:rsidR="00CF7C45" w:rsidRDefault="00CF7C45" w:rsidP="003F5231">
            <w:pPr>
              <w:pStyle w:val="a5"/>
            </w:pPr>
            <w:r>
              <w:t>210 118,65 тыс. рублей - средства областного бюджета.</w:t>
            </w:r>
          </w:p>
          <w:p w:rsidR="00CF7C45" w:rsidRDefault="00CF7C45" w:rsidP="003F5231">
            <w:pPr>
              <w:pStyle w:val="a5"/>
            </w:pPr>
            <w:r>
              <w:rPr>
                <w:rStyle w:val="a3"/>
              </w:rPr>
              <w:t>2018 год</w:t>
            </w:r>
            <w:r>
              <w:t xml:space="preserve"> 228 569,82 тыс. рублей в том числе:</w:t>
            </w:r>
          </w:p>
          <w:p w:rsidR="00CF7C45" w:rsidRDefault="00CF7C45" w:rsidP="003F5231">
            <w:pPr>
              <w:pStyle w:val="a5"/>
            </w:pPr>
            <w:r>
              <w:t>16 363,6 тыс. рублей - субвенция федерального бюджета;</w:t>
            </w:r>
          </w:p>
          <w:p w:rsidR="00CF7C45" w:rsidRDefault="00CF7C45" w:rsidP="003F5231">
            <w:pPr>
              <w:pStyle w:val="a5"/>
            </w:pPr>
            <w:r>
              <w:t>212 206,22 тыс. рублей - средства областного бюджета.</w:t>
            </w:r>
          </w:p>
          <w:p w:rsidR="00CF7C45" w:rsidRDefault="00CF7C45" w:rsidP="003F5231">
            <w:pPr>
              <w:pStyle w:val="a5"/>
            </w:pPr>
            <w:r>
              <w:rPr>
                <w:rStyle w:val="a3"/>
              </w:rPr>
              <w:t>2019 год</w:t>
            </w:r>
            <w:r>
              <w:t xml:space="preserve"> 230 443,23 тыс. рублей в том числе: 16 363,6 тыс. рублей - субвенция федерального бюджета;</w:t>
            </w:r>
          </w:p>
          <w:p w:rsidR="00CF7C45" w:rsidRDefault="00CF7C45" w:rsidP="003F5231">
            <w:pPr>
              <w:pStyle w:val="a5"/>
            </w:pPr>
            <w:r>
              <w:t>214 079,63 тыс. рублей - средства областного бюджета.</w:t>
            </w:r>
          </w:p>
        </w:tc>
      </w:tr>
      <w:tr w:rsidR="00CF7C45" w:rsidTr="003F52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4"/>
            </w:pPr>
            <w:r>
              <w:rPr>
                <w:rStyle w:val="a3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45" w:rsidRDefault="00CF7C45" w:rsidP="003F5231">
            <w:pPr>
              <w:pStyle w:val="a5"/>
            </w:pPr>
            <w:r>
              <w:t>Обеспечение степени выполнения мероприятий в сфере развития государственно-правовых институтов на территории Магаданской области на уровне 100 процентов с 2016 по 2019 годы.</w:t>
            </w:r>
          </w:p>
        </w:tc>
      </w:tr>
    </w:tbl>
    <w:p w:rsidR="00CF7C45" w:rsidRPr="00FE2DEC" w:rsidRDefault="00CF7C45">
      <w:pPr>
        <w:rPr>
          <w:rFonts w:ascii="Times New Roman" w:hAnsi="Times New Roman" w:cs="Times New Roman"/>
        </w:rPr>
      </w:pPr>
    </w:p>
    <w:sectPr w:rsidR="00CF7C45" w:rsidRPr="00FE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12"/>
    <w:rsid w:val="00064912"/>
    <w:rsid w:val="006631CB"/>
    <w:rsid w:val="009D38FD"/>
    <w:rsid w:val="00CF7C45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5838"/>
  <w15:chartTrackingRefBased/>
  <w15:docId w15:val="{EAD626C5-1B12-452E-AAE4-0B9DF0C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45"/>
    <w:pPr>
      <w:spacing w:after="0" w:line="240" w:lineRule="auto"/>
      <w:ind w:firstLine="720"/>
      <w:jc w:val="both"/>
    </w:pPr>
    <w:rPr>
      <w:rFonts w:ascii="Times New Roman CYR" w:eastAsia="Symbol" w:hAnsi="Times New Roman CYR" w:cs="Wingdings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CF7C45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C45"/>
    <w:rPr>
      <w:rFonts w:ascii="Times New Roman CYR" w:eastAsia="Symbol" w:hAnsi="Times New Roman CYR" w:cs="Wingdings"/>
      <w:b/>
      <w:color w:val="26282F"/>
      <w:kern w:val="2"/>
      <w:sz w:val="24"/>
      <w:szCs w:val="24"/>
      <w:lang w:eastAsia="zh-CN" w:bidi="hi-IN"/>
    </w:rPr>
  </w:style>
  <w:style w:type="character" w:customStyle="1" w:styleId="a3">
    <w:name w:val="Цветовое выделение"/>
    <w:rsid w:val="00CF7C45"/>
    <w:rPr>
      <w:b/>
      <w:color w:val="26282F"/>
    </w:rPr>
  </w:style>
  <w:style w:type="paragraph" w:customStyle="1" w:styleId="a4">
    <w:name w:val="Прижатый влево"/>
    <w:basedOn w:val="a"/>
    <w:rsid w:val="00CF7C45"/>
    <w:pPr>
      <w:jc w:val="left"/>
    </w:pPr>
  </w:style>
  <w:style w:type="paragraph" w:customStyle="1" w:styleId="a5">
    <w:name w:val="Нормальный (таблица)"/>
    <w:basedOn w:val="a"/>
    <w:rsid w:val="00CF7C45"/>
  </w:style>
  <w:style w:type="paragraph" w:customStyle="1" w:styleId="a6">
    <w:name w:val="Информация об изменениях"/>
    <w:basedOn w:val="a"/>
    <w:rsid w:val="00CF7C45"/>
    <w:pPr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rsid w:val="00CF7C45"/>
    <w:rPr>
      <w:b/>
      <w:color w:val="35384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3</cp:revision>
  <dcterms:created xsi:type="dcterms:W3CDTF">2018-10-19T03:21:00Z</dcterms:created>
  <dcterms:modified xsi:type="dcterms:W3CDTF">2018-10-19T05:05:00Z</dcterms:modified>
</cp:coreProperties>
</file>